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6C" w:rsidRDefault="009C620B" w:rsidP="009C620B">
      <w:pPr>
        <w:spacing w:after="0" w:line="360" w:lineRule="auto"/>
        <w:rPr>
          <w:rFonts w:ascii="Arial" w:hAnsi="Arial" w:cs="Arial"/>
          <w:color w:val="FFFFFF" w:themeColor="background1"/>
          <w:sz w:val="32"/>
          <w:szCs w:val="32"/>
        </w:rPr>
      </w:pPr>
      <w:r w:rsidRPr="009C620B">
        <w:rPr>
          <w:rFonts w:ascii="Arial" w:hAnsi="Arial" w:cs="Arial"/>
          <w:noProof/>
          <w:color w:val="FFFFFF" w:themeColor="background1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292B" wp14:editId="1B0D6271">
                <wp:simplePos x="0" y="0"/>
                <wp:positionH relativeFrom="column">
                  <wp:posOffset>1242805</wp:posOffset>
                </wp:positionH>
                <wp:positionV relativeFrom="paragraph">
                  <wp:posOffset>3519088</wp:posOffset>
                </wp:positionV>
                <wp:extent cx="38957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E2" w:rsidRDefault="00884DD4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PLANEACIÓN</w:t>
                            </w:r>
                            <w:r w:rsidR="005338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D16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ESTRATÉGICA</w:t>
                            </w:r>
                          </w:p>
                          <w:p w:rsidR="009C620B" w:rsidRPr="009C620B" w:rsidRDefault="0053384B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INSTITUCIONAL</w:t>
                            </w:r>
                          </w:p>
                          <w:p w:rsidR="009C620B" w:rsidRPr="009C620B" w:rsidRDefault="0053384B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2018-2022</w:t>
                            </w:r>
                          </w:p>
                          <w:p w:rsidR="009C620B" w:rsidRPr="009C620B" w:rsidRDefault="00A57E81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Aprobado 31 de diciembre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929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7.85pt;margin-top:277.1pt;width:30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ReEQIAAPwDAAAOAAAAZHJzL2Uyb0RvYy54bWysU9uO2yAQfa/Uf0C8N3Zu3cSKs9pmm6rS&#10;9iJt+wEEcIwKDAUSO/36HXA2G23fqvoBMZ7hzJzDYXXbG02O0gcFtqbjUUmJtByEsvua/vyxfbeg&#10;JERmBdNgZU1PMtDb9ds3q85VcgItaCE9QRAbqs7VtI3RVUUReCsNCyNw0mKyAW9YxNDvC+FZh+hG&#10;F5OyfF904IXzwGUI+Pd+SNJ1xm8ayeO3pgkyEl1TnC3m1ed1l9ZivWLV3jPXKn4eg/3DFIYpi00v&#10;UPcsMnLw6i8oo7iHAE0ccTAFNI3iMnNANuPyFZvHljmZuaA4wV1kCv8Pln89fvdEiZpOyxtKLDN4&#10;SZsDEx6IkCTKPgKZJJk6FyqsfnRYH/sP0ON1Z8rBPQD/FYiFTcvsXt55D10rmcAxx+lkcXV0wAkJ&#10;ZNd9AYHd2CFCBuobb5KGqApBdLyu0+WKcA7C8ed0sZzfTOaUcMyNZ+V0uZjnHqx6Pu58iJ8kGJI2&#10;NfXogQzPjg8hpnFY9VySulnYKq2zD7QlXU2Xc8R/lTEqok21MjVdlOkbjJNYfrQiH45M6WGPDbQ9&#10;005MB86x3/VYmLTYgTihAB4GO+LzwU0L/g8lHVqxpuH3gXlJif5sUcTleDZL3s3BDOlj4K8zu+sM&#10;sxyhahopGbabmP2eGAV3h2JvVZbhZZLzrGixrM75OSQPX8e56uXRrp8AAAD//wMAUEsDBBQABgAI&#10;AAAAIQCye19G3wAAAAsBAAAPAAAAZHJzL2Rvd25yZXYueG1sTI/BTsMwDIbvSLxDZCRuLKFQupWm&#10;04S2cQRGxTlrQlvROFGSdeXtMSe4+Zc//f5crWc7ssmEODiUcLsQwAy2Tg/YSWjedzdLYDEp1Gp0&#10;aCR8mwjr+vKiUqV2Z3wz0yF1jEowlkpCn5IvOY9tb6yKC+cN0u7TBasSxdBxHdSZyu3IMyEeuFUD&#10;0oVeefPUm/brcLISfPL74jm8vG62u0k0H/smG7qtlNdX8+YRWDJz+oPhV5/UoSanozuhjmykvMoL&#10;QiXk+X0GjIilWNFwlFAU+R3wuuL/f6h/AAAA//8DAFBLAQItABQABgAIAAAAIQC2gziS/gAAAOEB&#10;AAATAAAAAAAAAAAAAAAAAAAAAABbQ29udGVudF9UeXBlc10ueG1sUEsBAi0AFAAGAAgAAAAhADj9&#10;If/WAAAAlAEAAAsAAAAAAAAAAAAAAAAALwEAAF9yZWxzLy5yZWxzUEsBAi0AFAAGAAgAAAAhAFU4&#10;lF4RAgAA/AMAAA4AAAAAAAAAAAAAAAAALgIAAGRycy9lMm9Eb2MueG1sUEsBAi0AFAAGAAgAAAAh&#10;ALJ7X0bfAAAACwEAAA8AAAAAAAAAAAAAAAAAawQAAGRycy9kb3ducmV2LnhtbFBLBQYAAAAABAAE&#10;APMAAAB3BQAAAAA=&#10;" filled="f" stroked="f">
                <v:textbox style="mso-fit-shape-to-text:t">
                  <w:txbxContent>
                    <w:p w:rsidR="003D16E2" w:rsidRDefault="00884DD4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PLANEACIÓN</w:t>
                      </w:r>
                      <w:r w:rsidR="0053384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3D16E2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ESTRATÉGICA</w:t>
                      </w:r>
                    </w:p>
                    <w:p w:rsidR="009C620B" w:rsidRPr="009C620B" w:rsidRDefault="0053384B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INSTITUCIONAL</w:t>
                      </w:r>
                    </w:p>
                    <w:p w:rsidR="009C620B" w:rsidRPr="009C620B" w:rsidRDefault="0053384B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2018-2022</w:t>
                      </w:r>
                    </w:p>
                    <w:p w:rsidR="009C620B" w:rsidRPr="009C620B" w:rsidRDefault="00A57E81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Aprobado 31 de diciembre de 2018</w:t>
                      </w:r>
                    </w:p>
                  </w:txbxContent>
                </v:textbox>
              </v:shape>
            </w:pict>
          </mc:Fallback>
        </mc:AlternateContent>
      </w:r>
      <w:r w:rsidRPr="009C620B">
        <w:rPr>
          <w:rFonts w:ascii="Arial" w:hAnsi="Arial" w:cs="Arial"/>
          <w:noProof/>
          <w:color w:val="FFFFFF" w:themeColor="background1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3A6D" wp14:editId="177C5C57">
                <wp:simplePos x="0" y="0"/>
                <wp:positionH relativeFrom="column">
                  <wp:posOffset>1779270</wp:posOffset>
                </wp:positionH>
                <wp:positionV relativeFrom="paragraph">
                  <wp:posOffset>6934200</wp:posOffset>
                </wp:positionV>
                <wp:extent cx="2374265" cy="1403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0B" w:rsidRPr="009C620B" w:rsidRDefault="009C620B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C62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Bogotá D.C.</w:t>
                            </w:r>
                          </w:p>
                          <w:p w:rsidR="009C620B" w:rsidRPr="009C620B" w:rsidRDefault="009C620B" w:rsidP="009C62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C62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Diciembre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63A6D" id="_x0000_s1027" type="#_x0000_t202" style="position:absolute;margin-left:140.1pt;margin-top:54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YBFQIAAAEEAAAOAAAAZHJzL2Uyb0RvYy54bWysU11v2yAUfZ+0/4B4X+y4SZtYcaouXaZJ&#10;3YfU7QcQwDEacBmQ2N2v7wWnabS9TfMD4vpyz73ncFjdDkaTo/RBgW3odFJSIi0Hoey+oT++b98t&#10;KAmRWcE0WNnQJxno7frtm1XvallBB1pITxDEhrp3De1idHVRBN5Jw8IEnLSYbMEbFjH0+0J41iO6&#10;0UVVltdFD144D1yGgH/vxyRdZ/y2lTx+bdsgI9ENxdliXn1ed2kt1itW7z1zneKnMdg/TGGYstj0&#10;DHXPIiMHr/6CMop7CNDGCQdTQNsqLjMHZDMt/2Dz2DEnMxcUJ7izTOH/wfIvx2+eKNHQGSWWGbyi&#10;zYEJD0RIEuUQgVRJpN6FGs8+Ojwdh/cw4GVnwsE9AP8ZiIVNx+xe3nkPfSeZwCGnqbK4KB1xQgLZ&#10;9Z9BYDd2iJCBhtabpCBqQhAdL+vpfEE4B+H4s7q6mVXXc0o45qaz8mq5mOcerH4pdz7EjxIMSZuG&#10;enRAhmfHhxDTOKx+OZK6WdgqrbMLtCV9Q5fzap4LLjJGRTSpVqahizJ9o20Syw9W5OLIlB732EDb&#10;E+3EdOQch92QZc6aJEl2IJ5QBw+jJ/EN4aYD/5uSHv3Y0PDrwLykRH+yqOVyOpslA+dgNr+pMPCX&#10;md1lhlmOUA2NlIzbTcymT5SDu0PNtyqr8TrJaWT0WRbp9CaSkS/jfOr15a6fAQAA//8DAFBLAwQU&#10;AAYACAAAACEACQCdSuAAAAANAQAADwAAAGRycy9kb3ducmV2LnhtbEyPS0/DMBCE70j8B2uRuFGn&#10;ISltiFMhHhLHPkDq0Y03D2Gvo9htw79nOYH2tDuj2W/K9eSsOOMYek8K5rMEBFLtTU+tgo/9290S&#10;RIiajLaeUME3BlhX11elLoy/0BbPu9gKDqFQaAVdjEMhZag7dDrM/IDEWuNHpyOvYyvNqC8c7qxM&#10;k2Qhne6JP3R6wOcO66/dySn4pIN9bzLT4UO+ybbD60uTx71StzfT0yOIiFP8M8MvPqNDxUxHfyIT&#10;hFWQLpOUrSwkq5RbsWWRZ3MQRz7d84CsSvm/RfUDAAD//wMAUEsBAi0AFAAGAAgAAAAhALaDOJL+&#10;AAAA4QEAABMAAAAAAAAAAAAAAAAAAAAAAFtDb250ZW50X1R5cGVzXS54bWxQSwECLQAUAAYACAAA&#10;ACEAOP0h/9YAAACUAQAACwAAAAAAAAAAAAAAAAAvAQAAX3JlbHMvLnJlbHNQSwECLQAUAAYACAAA&#10;ACEAYm+GARUCAAABBAAADgAAAAAAAAAAAAAAAAAuAgAAZHJzL2Uyb0RvYy54bWxQSwECLQAUAAYA&#10;CAAAACEACQCdSuAAAAANAQAADwAAAAAAAAAAAAAAAABvBAAAZHJzL2Rvd25yZXYueG1sUEsFBgAA&#10;AAAEAAQA8wAAAHwFAAAAAA==&#10;" filled="f" stroked="f">
                <v:textbox style="mso-fit-shape-to-text:t">
                  <w:txbxContent>
                    <w:p w:rsidR="009C620B" w:rsidRPr="009C620B" w:rsidRDefault="009C620B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C62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Bogotá D.C.</w:t>
                      </w:r>
                    </w:p>
                    <w:p w:rsidR="009C620B" w:rsidRPr="009C620B" w:rsidRDefault="009C620B" w:rsidP="009C62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C62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Diciembre de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2"/>
          <w:szCs w:val="32"/>
          <w:lang w:eastAsia="es-CO"/>
        </w:rPr>
        <w:drawing>
          <wp:inline distT="0" distB="0" distL="0" distR="0" wp14:anchorId="18EF2915" wp14:editId="2A07DC4D">
            <wp:extent cx="5932639" cy="8095455"/>
            <wp:effectExtent l="0" t="0" r="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de agu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09" cy="81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818214747"/>
        <w:docPartObj>
          <w:docPartGallery w:val="Table of Contents"/>
          <w:docPartUnique/>
        </w:docPartObj>
      </w:sdtPr>
      <w:sdtEndPr/>
      <w:sdtContent>
        <w:p w:rsidR="009C620B" w:rsidRDefault="009C620B" w:rsidP="009C620B">
          <w:pPr>
            <w:pStyle w:val="TtuloTDC"/>
            <w:jc w:val="center"/>
            <w:rPr>
              <w:lang w:val="es-ES"/>
            </w:rPr>
          </w:pPr>
          <w:r>
            <w:rPr>
              <w:lang w:val="es-ES"/>
            </w:rPr>
            <w:t>TABLA DE CONTENIDO</w:t>
          </w:r>
        </w:p>
        <w:p w:rsidR="009C620B" w:rsidRPr="009C620B" w:rsidRDefault="009C620B" w:rsidP="009C620B">
          <w:pPr>
            <w:rPr>
              <w:lang w:val="es-ES" w:eastAsia="es-CO"/>
            </w:rPr>
          </w:pPr>
        </w:p>
        <w:p w:rsidR="00163758" w:rsidRDefault="009C620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73496" w:history="1">
            <w:r w:rsidR="00163758" w:rsidRPr="003C7C07">
              <w:rPr>
                <w:rStyle w:val="Hipervnculo"/>
                <w:noProof/>
              </w:rPr>
              <w:t>1.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OBJETIVO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_Toc533173496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3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163758" w:rsidRDefault="009B38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3173497" w:history="1">
            <w:r w:rsidR="00163758" w:rsidRPr="003C7C07">
              <w:rPr>
                <w:rStyle w:val="Hipervnculo"/>
                <w:noProof/>
              </w:rPr>
              <w:t>2.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ALCANCE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_Toc533173497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3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163758" w:rsidRDefault="009B38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3173498" w:history="1">
            <w:r w:rsidR="00163758" w:rsidRPr="003C7C07">
              <w:rPr>
                <w:rStyle w:val="Hipervnculo"/>
                <w:noProof/>
              </w:rPr>
              <w:t>3.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MARCO LEGAL APLICABLE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_Toc533173498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3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163758" w:rsidRDefault="009B38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3173499" w:history="1">
            <w:r w:rsidR="00163758" w:rsidRPr="003C7C07">
              <w:rPr>
                <w:rStyle w:val="Hipervnculo"/>
                <w:noProof/>
              </w:rPr>
              <w:t>4.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ANTECEDENTES PARA LA FORMULACIÓN DE LA PLANEACIÓN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_Toc533173499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5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163758" w:rsidRDefault="009B38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3173500" w:history="1">
            <w:r w:rsidR="00163758" w:rsidRPr="003C7C07">
              <w:rPr>
                <w:rStyle w:val="Hipervnculo"/>
                <w:noProof/>
              </w:rPr>
              <w:t>5.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PLAN ESTRATÉGICO INSTITUCIONAL 2018-2022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_Toc533173500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10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163758" w:rsidRDefault="009B38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3173501" w:history="1">
            <w:r w:rsidR="00163758" w:rsidRPr="003C7C07">
              <w:rPr>
                <w:rStyle w:val="Hipervnculo"/>
                <w:noProof/>
              </w:rPr>
              <w:t>6.</w:t>
            </w:r>
            <w:r w:rsidR="00163758">
              <w:rPr>
                <w:rFonts w:eastAsiaTheme="minorEastAsia"/>
                <w:noProof/>
                <w:lang w:eastAsia="es-CO"/>
              </w:rPr>
              <w:tab/>
            </w:r>
            <w:r w:rsidR="00163758" w:rsidRPr="003C7C07">
              <w:rPr>
                <w:rStyle w:val="Hipervnculo"/>
                <w:noProof/>
              </w:rPr>
              <w:t>PLAN DE ACCIÓN 2019</w:t>
            </w:r>
            <w:r w:rsidR="00163758">
              <w:rPr>
                <w:noProof/>
                <w:webHidden/>
              </w:rPr>
              <w:tab/>
            </w:r>
            <w:r w:rsidR="00163758">
              <w:rPr>
                <w:noProof/>
                <w:webHidden/>
              </w:rPr>
              <w:fldChar w:fldCharType="begin"/>
            </w:r>
            <w:r w:rsidR="00163758">
              <w:rPr>
                <w:noProof/>
                <w:webHidden/>
              </w:rPr>
              <w:instrText xml:space="preserve"> PAGEREF _Toc533173501 \h </w:instrText>
            </w:r>
            <w:r w:rsidR="00163758">
              <w:rPr>
                <w:noProof/>
                <w:webHidden/>
              </w:rPr>
            </w:r>
            <w:r w:rsidR="00163758">
              <w:rPr>
                <w:noProof/>
                <w:webHidden/>
              </w:rPr>
              <w:fldChar w:fldCharType="separate"/>
            </w:r>
            <w:r w:rsidR="00163758">
              <w:rPr>
                <w:noProof/>
                <w:webHidden/>
              </w:rPr>
              <w:t>13</w:t>
            </w:r>
            <w:r w:rsidR="00163758">
              <w:rPr>
                <w:noProof/>
                <w:webHidden/>
              </w:rPr>
              <w:fldChar w:fldCharType="end"/>
            </w:r>
          </w:hyperlink>
        </w:p>
        <w:p w:rsidR="009C620B" w:rsidRDefault="009C620B">
          <w:r>
            <w:rPr>
              <w:b/>
              <w:bCs/>
              <w:lang w:val="es-ES"/>
            </w:rPr>
            <w:fldChar w:fldCharType="end"/>
          </w:r>
        </w:p>
      </w:sdtContent>
    </w:sdt>
    <w:p w:rsidR="009C620B" w:rsidRDefault="009C620B" w:rsidP="009C620B">
      <w:pPr>
        <w:pStyle w:val="Ttulo1"/>
      </w:pPr>
      <w:r>
        <w:br w:type="page"/>
      </w:r>
    </w:p>
    <w:p w:rsidR="009C620B" w:rsidRPr="00FD17A1" w:rsidRDefault="009C620B" w:rsidP="00894E33">
      <w:pPr>
        <w:pStyle w:val="Ttulo1"/>
        <w:numPr>
          <w:ilvl w:val="0"/>
          <w:numId w:val="1"/>
        </w:numPr>
        <w:spacing w:before="0"/>
        <w:rPr>
          <w:color w:val="244061" w:themeColor="accent1" w:themeShade="80"/>
        </w:rPr>
      </w:pPr>
      <w:bookmarkStart w:id="0" w:name="_Toc533173496"/>
      <w:r w:rsidRPr="00FD17A1">
        <w:rPr>
          <w:color w:val="244061" w:themeColor="accent1" w:themeShade="80"/>
        </w:rPr>
        <w:t>OBJETIVO</w:t>
      </w:r>
      <w:bookmarkEnd w:id="0"/>
      <w:r w:rsidRPr="00FD17A1">
        <w:rPr>
          <w:color w:val="244061" w:themeColor="accent1" w:themeShade="80"/>
        </w:rPr>
        <w:t xml:space="preserve"> </w:t>
      </w:r>
    </w:p>
    <w:p w:rsidR="00F13DF6" w:rsidRPr="00F13DF6" w:rsidRDefault="00F13DF6" w:rsidP="00894E3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13DF6" w:rsidRDefault="00F13DF6" w:rsidP="0053384B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El presente </w:t>
      </w:r>
      <w:r w:rsidRPr="00F13DF6">
        <w:rPr>
          <w:rFonts w:asciiTheme="majorHAnsi" w:hAnsiTheme="majorHAnsi" w:cs="Arial"/>
          <w:sz w:val="26"/>
          <w:szCs w:val="26"/>
        </w:rPr>
        <w:t xml:space="preserve">documento </w:t>
      </w:r>
      <w:r>
        <w:rPr>
          <w:rFonts w:asciiTheme="majorHAnsi" w:hAnsiTheme="majorHAnsi" w:cs="Arial"/>
          <w:sz w:val="26"/>
          <w:szCs w:val="26"/>
        </w:rPr>
        <w:t xml:space="preserve">pone en conocimiento de </w:t>
      </w:r>
      <w:r w:rsidR="00894E33">
        <w:rPr>
          <w:rFonts w:asciiTheme="majorHAnsi" w:hAnsiTheme="majorHAnsi" w:cs="Arial"/>
          <w:sz w:val="26"/>
          <w:szCs w:val="26"/>
        </w:rPr>
        <w:t xml:space="preserve">los colaboradores de la entidad y de </w:t>
      </w:r>
      <w:r>
        <w:rPr>
          <w:rFonts w:asciiTheme="majorHAnsi" w:hAnsiTheme="majorHAnsi" w:cs="Arial"/>
          <w:sz w:val="26"/>
          <w:szCs w:val="26"/>
        </w:rPr>
        <w:t>la ciudadanía en general,</w:t>
      </w:r>
      <w:r w:rsidRPr="00F13DF6">
        <w:rPr>
          <w:rFonts w:asciiTheme="majorHAnsi" w:hAnsiTheme="majorHAnsi" w:cs="Arial"/>
          <w:sz w:val="26"/>
          <w:szCs w:val="26"/>
        </w:rPr>
        <w:t xml:space="preserve"> </w:t>
      </w:r>
      <w:r w:rsidR="0053384B">
        <w:rPr>
          <w:rFonts w:asciiTheme="majorHAnsi" w:hAnsiTheme="majorHAnsi" w:cs="Arial"/>
          <w:sz w:val="26"/>
          <w:szCs w:val="26"/>
        </w:rPr>
        <w:t>el plan estratégico institucional 2018-2022 del Ministerio de Cultura, el cual se encuentra alineado</w:t>
      </w:r>
      <w:r>
        <w:rPr>
          <w:rFonts w:asciiTheme="majorHAnsi" w:hAnsiTheme="majorHAnsi" w:cs="Arial"/>
          <w:sz w:val="26"/>
          <w:szCs w:val="26"/>
        </w:rPr>
        <w:t xml:space="preserve"> a las bases del Plan Nacional de Desarrollo 2018-2022 “Pacto por Colombia, Pacto por la Equidad” y a la planeación estra</w:t>
      </w:r>
      <w:r w:rsidR="0053384B">
        <w:rPr>
          <w:rFonts w:asciiTheme="majorHAnsi" w:hAnsiTheme="majorHAnsi" w:cs="Arial"/>
          <w:sz w:val="26"/>
          <w:szCs w:val="26"/>
        </w:rPr>
        <w:t>tégica sectorial</w:t>
      </w:r>
      <w:r>
        <w:rPr>
          <w:rFonts w:asciiTheme="majorHAnsi" w:hAnsiTheme="majorHAnsi" w:cs="Arial"/>
          <w:sz w:val="26"/>
          <w:szCs w:val="26"/>
        </w:rPr>
        <w:t>.</w:t>
      </w:r>
    </w:p>
    <w:p w:rsidR="003E574A" w:rsidRDefault="003E574A" w:rsidP="0053384B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3E574A" w:rsidRDefault="003E574A" w:rsidP="0053384B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Asimismo, muestra </w:t>
      </w:r>
      <w:r w:rsidRPr="00F13DF6">
        <w:rPr>
          <w:rFonts w:asciiTheme="majorHAnsi" w:hAnsiTheme="majorHAnsi" w:cs="Arial"/>
          <w:sz w:val="26"/>
          <w:szCs w:val="26"/>
        </w:rPr>
        <w:t>el proceso de formul</w:t>
      </w:r>
      <w:r>
        <w:rPr>
          <w:rFonts w:asciiTheme="majorHAnsi" w:hAnsiTheme="majorHAnsi" w:cs="Arial"/>
          <w:sz w:val="26"/>
          <w:szCs w:val="26"/>
        </w:rPr>
        <w:t>ación y definición del Plan de A</w:t>
      </w:r>
      <w:r w:rsidRPr="00F13DF6">
        <w:rPr>
          <w:rFonts w:asciiTheme="majorHAnsi" w:hAnsiTheme="majorHAnsi" w:cs="Arial"/>
          <w:sz w:val="26"/>
          <w:szCs w:val="26"/>
        </w:rPr>
        <w:t>cción del Ministerio de Cultura para</w:t>
      </w:r>
      <w:r>
        <w:rPr>
          <w:rFonts w:asciiTheme="majorHAnsi" w:hAnsiTheme="majorHAnsi" w:cs="Arial"/>
          <w:sz w:val="26"/>
          <w:szCs w:val="26"/>
        </w:rPr>
        <w:t xml:space="preserve"> la vigencia 2019, el cual contiene las estrategias, las acciones para su desarrollo y los indicadores que medirán su cumplimiento.</w:t>
      </w:r>
    </w:p>
    <w:p w:rsidR="00894E33" w:rsidRDefault="00894E33" w:rsidP="00894E33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3E574A" w:rsidRDefault="0053384B" w:rsidP="003E574A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En este sentido</w:t>
      </w:r>
      <w:r w:rsidR="00894E33">
        <w:rPr>
          <w:rFonts w:asciiTheme="majorHAnsi" w:hAnsiTheme="majorHAnsi" w:cs="Arial"/>
          <w:sz w:val="26"/>
          <w:szCs w:val="26"/>
        </w:rPr>
        <w:t xml:space="preserve">, </w:t>
      </w:r>
      <w:r w:rsidR="003E574A">
        <w:rPr>
          <w:rFonts w:asciiTheme="majorHAnsi" w:hAnsiTheme="majorHAnsi" w:cs="Arial"/>
          <w:sz w:val="26"/>
          <w:szCs w:val="26"/>
        </w:rPr>
        <w:t xml:space="preserve">dichos planes </w:t>
      </w:r>
      <w:r w:rsidR="00894E33">
        <w:rPr>
          <w:rFonts w:asciiTheme="majorHAnsi" w:hAnsiTheme="majorHAnsi" w:cs="Arial"/>
          <w:sz w:val="26"/>
          <w:szCs w:val="26"/>
        </w:rPr>
        <w:t>se constituye</w:t>
      </w:r>
      <w:r w:rsidR="003E574A">
        <w:rPr>
          <w:rFonts w:asciiTheme="majorHAnsi" w:hAnsiTheme="majorHAnsi" w:cs="Arial"/>
          <w:sz w:val="26"/>
          <w:szCs w:val="26"/>
        </w:rPr>
        <w:t>n en</w:t>
      </w:r>
      <w:r w:rsidR="00894E33">
        <w:rPr>
          <w:rFonts w:asciiTheme="majorHAnsi" w:hAnsiTheme="majorHAnsi" w:cs="Arial"/>
          <w:sz w:val="26"/>
          <w:szCs w:val="26"/>
        </w:rPr>
        <w:t xml:space="preserve"> herramienta</w:t>
      </w:r>
      <w:r w:rsidR="003E574A">
        <w:rPr>
          <w:rFonts w:asciiTheme="majorHAnsi" w:hAnsiTheme="majorHAnsi" w:cs="Arial"/>
          <w:sz w:val="26"/>
          <w:szCs w:val="26"/>
        </w:rPr>
        <w:t>s</w:t>
      </w:r>
      <w:r w:rsidR="00894E33">
        <w:rPr>
          <w:rFonts w:asciiTheme="majorHAnsi" w:hAnsiTheme="majorHAnsi" w:cs="Arial"/>
          <w:sz w:val="26"/>
          <w:szCs w:val="26"/>
        </w:rPr>
        <w:t xml:space="preserve"> de planificación</w:t>
      </w:r>
      <w:r>
        <w:rPr>
          <w:rFonts w:asciiTheme="majorHAnsi" w:hAnsiTheme="majorHAnsi" w:cs="Arial"/>
          <w:sz w:val="26"/>
          <w:szCs w:val="26"/>
        </w:rPr>
        <w:t xml:space="preserve"> que permite</w:t>
      </w:r>
      <w:r w:rsidR="003E574A">
        <w:rPr>
          <w:rFonts w:asciiTheme="majorHAnsi" w:hAnsiTheme="majorHAnsi" w:cs="Arial"/>
          <w:sz w:val="26"/>
          <w:szCs w:val="26"/>
        </w:rPr>
        <w:t>n</w:t>
      </w:r>
      <w:r>
        <w:rPr>
          <w:rFonts w:asciiTheme="majorHAnsi" w:hAnsiTheme="majorHAnsi" w:cs="Arial"/>
          <w:sz w:val="26"/>
          <w:szCs w:val="26"/>
        </w:rPr>
        <w:t xml:space="preserve"> el cumplimiento de los objetivos estratégicos institucionales</w:t>
      </w:r>
      <w:r w:rsidR="003E574A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sz w:val="26"/>
          <w:szCs w:val="26"/>
        </w:rPr>
        <w:t xml:space="preserve"> coadyuva </w:t>
      </w:r>
      <w:r w:rsidR="0043727B">
        <w:rPr>
          <w:rFonts w:asciiTheme="majorHAnsi" w:hAnsiTheme="majorHAnsi" w:cs="Arial"/>
          <w:sz w:val="26"/>
          <w:szCs w:val="26"/>
        </w:rPr>
        <w:t xml:space="preserve">a alcanzar la visión </w:t>
      </w:r>
      <w:r w:rsidR="00884DD4">
        <w:rPr>
          <w:rFonts w:asciiTheme="majorHAnsi" w:hAnsiTheme="majorHAnsi" w:cs="Arial"/>
          <w:sz w:val="26"/>
          <w:szCs w:val="26"/>
        </w:rPr>
        <w:t>de la entidad</w:t>
      </w:r>
      <w:r w:rsidR="003E574A">
        <w:rPr>
          <w:rFonts w:asciiTheme="majorHAnsi" w:hAnsiTheme="majorHAnsi" w:cs="Arial"/>
          <w:sz w:val="26"/>
          <w:szCs w:val="26"/>
        </w:rPr>
        <w:t xml:space="preserve"> y </w:t>
      </w:r>
      <w:r w:rsidR="007064C6">
        <w:rPr>
          <w:rFonts w:asciiTheme="majorHAnsi" w:hAnsiTheme="majorHAnsi" w:cs="Arial"/>
          <w:sz w:val="26"/>
          <w:szCs w:val="26"/>
        </w:rPr>
        <w:t xml:space="preserve">se constituye en </w:t>
      </w:r>
      <w:r w:rsidR="003E574A">
        <w:rPr>
          <w:rFonts w:asciiTheme="majorHAnsi" w:hAnsiTheme="majorHAnsi" w:cs="Arial"/>
          <w:sz w:val="26"/>
          <w:szCs w:val="26"/>
        </w:rPr>
        <w:t xml:space="preserve">una hoja de ruta </w:t>
      </w:r>
      <w:r w:rsidR="007064C6">
        <w:rPr>
          <w:rFonts w:asciiTheme="majorHAnsi" w:hAnsiTheme="majorHAnsi" w:cs="Arial"/>
          <w:sz w:val="26"/>
          <w:szCs w:val="26"/>
        </w:rPr>
        <w:t>para el cumplimiento de las acciones propuestas.</w:t>
      </w:r>
    </w:p>
    <w:p w:rsidR="004222E9" w:rsidRDefault="004222E9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894E33" w:rsidRPr="00894E33" w:rsidRDefault="00894E33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9C620B" w:rsidRPr="00FD17A1" w:rsidRDefault="009C620B" w:rsidP="004222E9">
      <w:pPr>
        <w:pStyle w:val="Ttulo1"/>
        <w:numPr>
          <w:ilvl w:val="0"/>
          <w:numId w:val="1"/>
        </w:numPr>
        <w:spacing w:before="0"/>
        <w:rPr>
          <w:color w:val="244061" w:themeColor="accent1" w:themeShade="80"/>
        </w:rPr>
      </w:pPr>
      <w:bookmarkStart w:id="1" w:name="_Toc533173497"/>
      <w:r w:rsidRPr="00FD17A1">
        <w:rPr>
          <w:color w:val="244061" w:themeColor="accent1" w:themeShade="80"/>
        </w:rPr>
        <w:t>ALCANCE</w:t>
      </w:r>
      <w:bookmarkEnd w:id="1"/>
      <w:r w:rsidRPr="00FD17A1">
        <w:rPr>
          <w:color w:val="244061" w:themeColor="accent1" w:themeShade="80"/>
        </w:rPr>
        <w:t xml:space="preserve"> </w:t>
      </w:r>
    </w:p>
    <w:p w:rsidR="009C620B" w:rsidRDefault="009C620B" w:rsidP="004222E9">
      <w:pPr>
        <w:spacing w:after="0"/>
        <w:rPr>
          <w:rFonts w:ascii="Arial" w:hAnsi="Arial" w:cs="Arial"/>
          <w:sz w:val="32"/>
          <w:szCs w:val="32"/>
        </w:rPr>
      </w:pPr>
    </w:p>
    <w:p w:rsidR="00894E33" w:rsidRDefault="00894E33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 w:rsidRPr="00894E33">
        <w:rPr>
          <w:rFonts w:asciiTheme="majorHAnsi" w:hAnsiTheme="majorHAnsi" w:cs="Arial"/>
          <w:sz w:val="26"/>
          <w:szCs w:val="26"/>
        </w:rPr>
        <w:t>El plan</w:t>
      </w:r>
      <w:r w:rsidR="00884DD4">
        <w:rPr>
          <w:rFonts w:asciiTheme="majorHAnsi" w:hAnsiTheme="majorHAnsi" w:cs="Arial"/>
          <w:sz w:val="26"/>
          <w:szCs w:val="26"/>
        </w:rPr>
        <w:t xml:space="preserve"> estratégico institucional 2018-2022</w:t>
      </w:r>
      <w:r w:rsidRPr="00894E33">
        <w:rPr>
          <w:rFonts w:asciiTheme="majorHAnsi" w:hAnsiTheme="majorHAnsi" w:cs="Arial"/>
          <w:sz w:val="26"/>
          <w:szCs w:val="26"/>
        </w:rPr>
        <w:t xml:space="preserve"> </w:t>
      </w:r>
      <w:r w:rsidR="007064C6">
        <w:rPr>
          <w:rFonts w:asciiTheme="majorHAnsi" w:hAnsiTheme="majorHAnsi" w:cs="Arial"/>
          <w:sz w:val="26"/>
          <w:szCs w:val="26"/>
        </w:rPr>
        <w:t xml:space="preserve">y Plan de Acción 2019 </w:t>
      </w:r>
      <w:r w:rsidRPr="00894E33">
        <w:rPr>
          <w:rFonts w:asciiTheme="majorHAnsi" w:hAnsiTheme="majorHAnsi" w:cs="Arial"/>
          <w:sz w:val="26"/>
          <w:szCs w:val="26"/>
        </w:rPr>
        <w:t xml:space="preserve">aplica para las </w:t>
      </w:r>
      <w:r w:rsidR="000A1E01">
        <w:rPr>
          <w:rFonts w:asciiTheme="majorHAnsi" w:hAnsiTheme="majorHAnsi" w:cs="Arial"/>
          <w:sz w:val="26"/>
          <w:szCs w:val="26"/>
        </w:rPr>
        <w:t>áreas del Ministerio de Cultura y las</w:t>
      </w:r>
      <w:r w:rsidRPr="00894E33">
        <w:rPr>
          <w:rFonts w:asciiTheme="majorHAnsi" w:hAnsiTheme="majorHAnsi" w:cs="Arial"/>
          <w:sz w:val="26"/>
          <w:szCs w:val="26"/>
        </w:rPr>
        <w:t xml:space="preserve"> unidades especiales admin</w:t>
      </w:r>
      <w:r w:rsidR="000A1E01">
        <w:rPr>
          <w:rFonts w:asciiTheme="majorHAnsi" w:hAnsiTheme="majorHAnsi" w:cs="Arial"/>
          <w:sz w:val="26"/>
          <w:szCs w:val="26"/>
        </w:rPr>
        <w:t>istrativas Biblioteca Nacional y</w:t>
      </w:r>
      <w:r w:rsidRPr="00894E33">
        <w:rPr>
          <w:rFonts w:asciiTheme="majorHAnsi" w:hAnsiTheme="majorHAnsi" w:cs="Arial"/>
          <w:sz w:val="26"/>
          <w:szCs w:val="26"/>
        </w:rPr>
        <w:t xml:space="preserve"> M</w:t>
      </w:r>
      <w:r w:rsidR="000A1E01">
        <w:rPr>
          <w:rFonts w:asciiTheme="majorHAnsi" w:hAnsiTheme="majorHAnsi" w:cs="Arial"/>
          <w:sz w:val="26"/>
          <w:szCs w:val="26"/>
        </w:rPr>
        <w:t>useo Nacional</w:t>
      </w:r>
      <w:r w:rsidR="0000650A">
        <w:rPr>
          <w:rFonts w:asciiTheme="majorHAnsi" w:hAnsiTheme="majorHAnsi" w:cs="Arial"/>
          <w:sz w:val="26"/>
          <w:szCs w:val="26"/>
        </w:rPr>
        <w:t>.</w:t>
      </w:r>
    </w:p>
    <w:p w:rsidR="004222E9" w:rsidRDefault="004222E9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00650A" w:rsidRPr="0000650A" w:rsidRDefault="0000650A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9C620B" w:rsidRPr="00FD17A1" w:rsidRDefault="009C620B" w:rsidP="004222E9">
      <w:pPr>
        <w:pStyle w:val="Ttulo1"/>
        <w:numPr>
          <w:ilvl w:val="0"/>
          <w:numId w:val="1"/>
        </w:numPr>
        <w:spacing w:before="0"/>
        <w:rPr>
          <w:color w:val="244061" w:themeColor="accent1" w:themeShade="80"/>
        </w:rPr>
      </w:pPr>
      <w:bookmarkStart w:id="2" w:name="_Toc533173498"/>
      <w:r w:rsidRPr="00FD17A1">
        <w:rPr>
          <w:color w:val="244061" w:themeColor="accent1" w:themeShade="80"/>
        </w:rPr>
        <w:t>MARCO LEGAL APLICABLE</w:t>
      </w:r>
      <w:bookmarkEnd w:id="2"/>
    </w:p>
    <w:p w:rsidR="00985535" w:rsidRDefault="00985535" w:rsidP="004222E9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B37927" w:rsidRDefault="00B37927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Ley 152 de 1994: </w:t>
      </w:r>
      <w:r w:rsidR="007064C6" w:rsidRPr="009D4972">
        <w:rPr>
          <w:rFonts w:asciiTheme="majorHAnsi" w:hAnsiTheme="majorHAnsi" w:cs="Arial"/>
          <w:sz w:val="26"/>
          <w:szCs w:val="26"/>
        </w:rPr>
        <w:t>Establece los procedimientos y mecanismos para la planeación, donde el Ministerio</w:t>
      </w:r>
      <w:r w:rsidR="007064C6">
        <w:rPr>
          <w:rFonts w:asciiTheme="majorHAnsi" w:hAnsiTheme="majorHAnsi" w:cs="Arial"/>
          <w:sz w:val="26"/>
          <w:szCs w:val="26"/>
        </w:rPr>
        <w:t xml:space="preserve"> de Cultura</w:t>
      </w:r>
      <w:r w:rsidR="007064C6" w:rsidRPr="009D4972">
        <w:rPr>
          <w:rFonts w:asciiTheme="majorHAnsi" w:hAnsiTheme="majorHAnsi" w:cs="Arial"/>
          <w:sz w:val="26"/>
          <w:szCs w:val="26"/>
        </w:rPr>
        <w:t>, como entidad del orden nacional, alinea su planeación estratégica al Plan Nacional de Desarrollo, en su ámbito funcional</w:t>
      </w:r>
      <w:r w:rsidR="007064C6">
        <w:rPr>
          <w:rFonts w:asciiTheme="majorHAnsi" w:hAnsiTheme="majorHAnsi" w:cs="Arial"/>
          <w:sz w:val="26"/>
          <w:szCs w:val="26"/>
        </w:rPr>
        <w:t>, y programa y ejecuta su plan de acción en cumplimiento de los lineamientos de dicho plan.</w:t>
      </w:r>
    </w:p>
    <w:p w:rsidR="00AB6621" w:rsidRDefault="00AB6621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AB6621" w:rsidRPr="00AB6621" w:rsidRDefault="00AB6621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AB6621">
        <w:rPr>
          <w:rFonts w:asciiTheme="majorHAnsi" w:hAnsiTheme="majorHAnsi" w:cs="Arial"/>
          <w:b/>
          <w:sz w:val="26"/>
          <w:szCs w:val="26"/>
        </w:rPr>
        <w:t xml:space="preserve">Ley 190 de 1995: </w:t>
      </w:r>
      <w:r>
        <w:rPr>
          <w:rFonts w:asciiTheme="majorHAnsi" w:hAnsiTheme="majorHAnsi" w:cs="Arial"/>
          <w:sz w:val="26"/>
          <w:szCs w:val="26"/>
        </w:rPr>
        <w:t xml:space="preserve">El Ministerio de Cultura, como entidad pública de la Rama Ejecutiva, </w:t>
      </w:r>
      <w:r w:rsidRPr="00AB6621">
        <w:rPr>
          <w:rFonts w:asciiTheme="majorHAnsi" w:hAnsiTheme="majorHAnsi" w:cs="Arial"/>
          <w:sz w:val="26"/>
          <w:szCs w:val="26"/>
        </w:rPr>
        <w:t>debe</w:t>
      </w:r>
      <w:r>
        <w:rPr>
          <w:rFonts w:asciiTheme="majorHAnsi" w:hAnsiTheme="majorHAnsi" w:cs="Arial"/>
          <w:sz w:val="26"/>
          <w:szCs w:val="26"/>
        </w:rPr>
        <w:t>,</w:t>
      </w:r>
      <w:r w:rsidRPr="00AB6621">
        <w:rPr>
          <w:rFonts w:asciiTheme="majorHAnsi" w:hAnsiTheme="majorHAnsi" w:cs="Arial"/>
          <w:sz w:val="26"/>
          <w:szCs w:val="26"/>
        </w:rPr>
        <w:t xml:space="preserve"> a más tardar el </w:t>
      </w:r>
      <w:r>
        <w:rPr>
          <w:rFonts w:asciiTheme="majorHAnsi" w:hAnsiTheme="majorHAnsi" w:cs="Arial"/>
          <w:sz w:val="26"/>
          <w:szCs w:val="26"/>
        </w:rPr>
        <w:t>31 de diciembre de cada año</w:t>
      </w:r>
      <w:r w:rsidRPr="00AB6621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 xml:space="preserve">establecer los objetivos a cumplir para el desarrollo de sus funciones, </w:t>
      </w:r>
      <w:r w:rsidRPr="00AB6621">
        <w:rPr>
          <w:rFonts w:asciiTheme="majorHAnsi" w:hAnsiTheme="majorHAnsi" w:cs="Arial"/>
          <w:sz w:val="26"/>
          <w:szCs w:val="26"/>
        </w:rPr>
        <w:t>así como los planes que incluyan los recursos presupuestados necesarios y las estrategias que habrán de seguir para el logro de esos objetivos</w:t>
      </w:r>
      <w:r>
        <w:rPr>
          <w:rFonts w:asciiTheme="majorHAnsi" w:hAnsiTheme="majorHAnsi" w:cs="Arial"/>
          <w:sz w:val="26"/>
          <w:szCs w:val="26"/>
        </w:rPr>
        <w:t>, siendo esta una forma de ejercer control social.</w:t>
      </w:r>
    </w:p>
    <w:p w:rsidR="00B37927" w:rsidRDefault="00B37927" w:rsidP="004222E9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0A1E01" w:rsidRDefault="000A1E01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4222E9">
        <w:rPr>
          <w:rFonts w:asciiTheme="majorHAnsi" w:hAnsiTheme="majorHAnsi" w:cs="Arial"/>
          <w:b/>
          <w:sz w:val="26"/>
          <w:szCs w:val="26"/>
        </w:rPr>
        <w:t>Ley 397 de 1997</w:t>
      </w:r>
      <w:r w:rsidR="004222E9">
        <w:rPr>
          <w:rFonts w:asciiTheme="majorHAnsi" w:hAnsiTheme="majorHAnsi" w:cs="Arial"/>
          <w:b/>
          <w:sz w:val="26"/>
          <w:szCs w:val="26"/>
        </w:rPr>
        <w:t>:</w:t>
      </w:r>
      <w:r w:rsidR="004222E9">
        <w:rPr>
          <w:rFonts w:asciiTheme="majorHAnsi" w:hAnsiTheme="majorHAnsi" w:cs="Arial"/>
          <w:sz w:val="26"/>
          <w:szCs w:val="26"/>
        </w:rPr>
        <w:t xml:space="preserve"> </w:t>
      </w:r>
      <w:r w:rsidR="009D4972">
        <w:rPr>
          <w:rFonts w:asciiTheme="majorHAnsi" w:hAnsiTheme="majorHAnsi" w:cs="Arial"/>
          <w:sz w:val="26"/>
          <w:szCs w:val="26"/>
        </w:rPr>
        <w:t>E</w:t>
      </w:r>
      <w:r w:rsidR="0053510F">
        <w:rPr>
          <w:rFonts w:asciiTheme="majorHAnsi" w:hAnsiTheme="majorHAnsi" w:cs="Arial"/>
          <w:sz w:val="26"/>
          <w:szCs w:val="26"/>
        </w:rPr>
        <w:t>l Ministerio de Cultura</w:t>
      </w:r>
      <w:r w:rsidR="009D4972">
        <w:rPr>
          <w:rFonts w:asciiTheme="majorHAnsi" w:hAnsiTheme="majorHAnsi" w:cs="Arial"/>
          <w:sz w:val="26"/>
          <w:szCs w:val="26"/>
        </w:rPr>
        <w:t xml:space="preserve"> se crea con esta ley, la cual dicta </w:t>
      </w:r>
      <w:r>
        <w:rPr>
          <w:rFonts w:asciiTheme="majorHAnsi" w:hAnsiTheme="majorHAnsi" w:cs="Arial"/>
          <w:sz w:val="26"/>
          <w:szCs w:val="26"/>
        </w:rPr>
        <w:t>normas sobre patrimonio cu</w:t>
      </w:r>
      <w:r w:rsidR="0092335E">
        <w:rPr>
          <w:rFonts w:asciiTheme="majorHAnsi" w:hAnsiTheme="majorHAnsi" w:cs="Arial"/>
          <w:sz w:val="26"/>
          <w:szCs w:val="26"/>
        </w:rPr>
        <w:t xml:space="preserve">ltural, fomentos y estímulos </w:t>
      </w:r>
      <w:r>
        <w:rPr>
          <w:rFonts w:asciiTheme="majorHAnsi" w:hAnsiTheme="majorHAnsi" w:cs="Arial"/>
          <w:sz w:val="26"/>
          <w:szCs w:val="26"/>
        </w:rPr>
        <w:t>a la cultura.</w:t>
      </w:r>
    </w:p>
    <w:p w:rsidR="004222E9" w:rsidRDefault="004222E9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92335E" w:rsidRDefault="000A1E01" w:rsidP="0092335E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2335E">
        <w:rPr>
          <w:rFonts w:asciiTheme="majorHAnsi" w:hAnsiTheme="majorHAnsi" w:cs="Arial"/>
          <w:b/>
          <w:sz w:val="26"/>
          <w:szCs w:val="26"/>
        </w:rPr>
        <w:t>Ley 489 de 1998</w:t>
      </w:r>
      <w:r w:rsidR="0092335E">
        <w:rPr>
          <w:rFonts w:asciiTheme="majorHAnsi" w:hAnsiTheme="majorHAnsi" w:cs="Arial"/>
          <w:b/>
          <w:sz w:val="26"/>
          <w:szCs w:val="26"/>
        </w:rPr>
        <w:t>: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="00265DFC">
        <w:rPr>
          <w:rFonts w:asciiTheme="majorHAnsi" w:hAnsiTheme="majorHAnsi" w:cs="Arial"/>
          <w:sz w:val="26"/>
          <w:szCs w:val="26"/>
        </w:rPr>
        <w:t>Esta ley d</w:t>
      </w:r>
      <w:r w:rsidR="0053510F">
        <w:rPr>
          <w:rFonts w:asciiTheme="majorHAnsi" w:hAnsiTheme="majorHAnsi" w:cs="Arial"/>
          <w:sz w:val="26"/>
          <w:szCs w:val="26"/>
        </w:rPr>
        <w:t>ictó</w:t>
      </w:r>
      <w:r w:rsidR="00834D55">
        <w:rPr>
          <w:rFonts w:asciiTheme="majorHAnsi" w:hAnsiTheme="majorHAnsi" w:cs="Arial"/>
          <w:sz w:val="26"/>
          <w:szCs w:val="26"/>
        </w:rPr>
        <w:t xml:space="preserve"> normas sobre la e</w:t>
      </w:r>
      <w:r w:rsidR="0092335E">
        <w:rPr>
          <w:rFonts w:asciiTheme="majorHAnsi" w:hAnsiTheme="majorHAnsi" w:cs="Arial"/>
          <w:sz w:val="26"/>
          <w:szCs w:val="26"/>
        </w:rPr>
        <w:t xml:space="preserve">structura y organización de la administración pública, </w:t>
      </w:r>
      <w:r w:rsidR="00834D55">
        <w:rPr>
          <w:rFonts w:asciiTheme="majorHAnsi" w:hAnsiTheme="majorHAnsi" w:cs="Arial"/>
          <w:sz w:val="26"/>
          <w:szCs w:val="26"/>
        </w:rPr>
        <w:t>estableciendo que los M</w:t>
      </w:r>
      <w:r w:rsidR="0092335E">
        <w:rPr>
          <w:rFonts w:asciiTheme="majorHAnsi" w:hAnsiTheme="majorHAnsi" w:cs="Arial"/>
          <w:sz w:val="26"/>
          <w:szCs w:val="26"/>
        </w:rPr>
        <w:t>inisterios hacen parte del sector central de la Rama Ejecutiva del Sector P</w:t>
      </w:r>
      <w:r w:rsidR="00834D55">
        <w:rPr>
          <w:rFonts w:asciiTheme="majorHAnsi" w:hAnsiTheme="majorHAnsi" w:cs="Arial"/>
          <w:sz w:val="26"/>
          <w:szCs w:val="26"/>
        </w:rPr>
        <w:t>úblico d</w:t>
      </w:r>
      <w:r w:rsidR="0092335E">
        <w:rPr>
          <w:rFonts w:asciiTheme="majorHAnsi" w:hAnsiTheme="majorHAnsi" w:cs="Arial"/>
          <w:sz w:val="26"/>
          <w:szCs w:val="26"/>
        </w:rPr>
        <w:t>el orden nacional.</w:t>
      </w:r>
      <w:r w:rsidR="005D5444">
        <w:rPr>
          <w:rFonts w:asciiTheme="majorHAnsi" w:hAnsiTheme="majorHAnsi" w:cs="Arial"/>
          <w:sz w:val="26"/>
          <w:szCs w:val="26"/>
        </w:rPr>
        <w:t xml:space="preserve"> </w:t>
      </w:r>
      <w:r w:rsidR="0092335E">
        <w:rPr>
          <w:rFonts w:asciiTheme="majorHAnsi" w:hAnsiTheme="majorHAnsi" w:cs="Arial"/>
          <w:sz w:val="26"/>
          <w:szCs w:val="26"/>
        </w:rPr>
        <w:t>Asimismo,</w:t>
      </w:r>
      <w:r w:rsidR="0053510F">
        <w:rPr>
          <w:rFonts w:asciiTheme="majorHAnsi" w:hAnsiTheme="majorHAnsi" w:cs="Arial"/>
          <w:sz w:val="26"/>
          <w:szCs w:val="26"/>
        </w:rPr>
        <w:t xml:space="preserve"> estableció</w:t>
      </w:r>
      <w:r w:rsidR="0092335E">
        <w:rPr>
          <w:rFonts w:asciiTheme="majorHAnsi" w:hAnsiTheme="majorHAnsi" w:cs="Arial"/>
          <w:sz w:val="26"/>
          <w:szCs w:val="26"/>
        </w:rPr>
        <w:t xml:space="preserve"> como objetivos </w:t>
      </w:r>
      <w:r w:rsidR="00834D55">
        <w:rPr>
          <w:rFonts w:asciiTheme="majorHAnsi" w:hAnsiTheme="majorHAnsi" w:cs="Arial"/>
          <w:sz w:val="26"/>
          <w:szCs w:val="26"/>
        </w:rPr>
        <w:t>primordiales de los Ministerios</w:t>
      </w:r>
      <w:r w:rsidR="0092335E" w:rsidRPr="0092335E">
        <w:rPr>
          <w:rFonts w:asciiTheme="majorHAnsi" w:hAnsiTheme="majorHAnsi" w:cs="Arial"/>
          <w:sz w:val="26"/>
          <w:szCs w:val="26"/>
        </w:rPr>
        <w:t xml:space="preserve"> la formulación y adopción de las políticas,</w:t>
      </w:r>
      <w:r w:rsidR="0092335E">
        <w:rPr>
          <w:rFonts w:asciiTheme="majorHAnsi" w:hAnsiTheme="majorHAnsi" w:cs="Arial"/>
          <w:sz w:val="26"/>
          <w:szCs w:val="26"/>
        </w:rPr>
        <w:t xml:space="preserve"> </w:t>
      </w:r>
      <w:r w:rsidR="0092335E" w:rsidRPr="0092335E">
        <w:rPr>
          <w:rFonts w:asciiTheme="majorHAnsi" w:hAnsiTheme="majorHAnsi" w:cs="Arial"/>
          <w:sz w:val="26"/>
          <w:szCs w:val="26"/>
        </w:rPr>
        <w:t>planes generales, programas y proyectos del Sector Administrativo que dirigen</w:t>
      </w:r>
      <w:r w:rsidR="0053510F">
        <w:rPr>
          <w:rFonts w:asciiTheme="majorHAnsi" w:hAnsiTheme="majorHAnsi" w:cs="Arial"/>
          <w:sz w:val="26"/>
          <w:szCs w:val="26"/>
        </w:rPr>
        <w:t xml:space="preserve"> y señaló</w:t>
      </w:r>
      <w:r w:rsidR="00834D55">
        <w:rPr>
          <w:rFonts w:asciiTheme="majorHAnsi" w:hAnsiTheme="majorHAnsi" w:cs="Arial"/>
          <w:sz w:val="26"/>
          <w:szCs w:val="26"/>
        </w:rPr>
        <w:t xml:space="preserve"> las funciones que le corresponden.</w:t>
      </w:r>
    </w:p>
    <w:p w:rsidR="0092335E" w:rsidRDefault="0092335E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0A1E01" w:rsidRDefault="000A1E01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53510F">
        <w:rPr>
          <w:rFonts w:asciiTheme="majorHAnsi" w:hAnsiTheme="majorHAnsi" w:cs="Arial"/>
          <w:b/>
          <w:sz w:val="26"/>
          <w:szCs w:val="26"/>
        </w:rPr>
        <w:t>Ley 1185 de 2008</w:t>
      </w:r>
      <w:r w:rsidR="0053510F">
        <w:rPr>
          <w:rFonts w:asciiTheme="majorHAnsi" w:hAnsiTheme="majorHAnsi" w:cs="Arial"/>
          <w:sz w:val="26"/>
          <w:szCs w:val="26"/>
        </w:rPr>
        <w:t>: Modificó y adicionó</w:t>
      </w:r>
      <w:r>
        <w:rPr>
          <w:rFonts w:asciiTheme="majorHAnsi" w:hAnsiTheme="majorHAnsi" w:cs="Arial"/>
          <w:sz w:val="26"/>
          <w:szCs w:val="26"/>
        </w:rPr>
        <w:t xml:space="preserve"> la Ley 397 de 1997</w:t>
      </w:r>
      <w:r w:rsidR="0053510F">
        <w:rPr>
          <w:rFonts w:asciiTheme="majorHAnsi" w:hAnsiTheme="majorHAnsi" w:cs="Arial"/>
          <w:sz w:val="26"/>
          <w:szCs w:val="26"/>
        </w:rPr>
        <w:t xml:space="preserve"> y dictó otras disposiciones en materia cultural.</w:t>
      </w:r>
    </w:p>
    <w:p w:rsidR="0053510F" w:rsidRDefault="0053510F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A5D73" w:rsidRDefault="00BA5D73" w:rsidP="004222E9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Ley 1474 de 2011: </w:t>
      </w:r>
      <w:r>
        <w:rPr>
          <w:rFonts w:asciiTheme="majorHAnsi" w:hAnsiTheme="majorHAnsi" w:cs="Arial"/>
          <w:sz w:val="26"/>
          <w:szCs w:val="26"/>
        </w:rPr>
        <w:t xml:space="preserve">Con el fin de promover la transparencia en la gestión pública, el Ministerio de Cultura debe publicar a más tardar el 31 de enero de cada año su plan de acción, donde se </w:t>
      </w:r>
      <w:r w:rsidR="00FE7D65">
        <w:rPr>
          <w:rFonts w:asciiTheme="majorHAnsi" w:hAnsiTheme="majorHAnsi" w:cs="Arial"/>
          <w:sz w:val="26"/>
          <w:szCs w:val="26"/>
        </w:rPr>
        <w:t>establecen para cada vigencia</w:t>
      </w:r>
      <w:r>
        <w:rPr>
          <w:rFonts w:asciiTheme="majorHAnsi" w:hAnsiTheme="majorHAnsi" w:cs="Arial"/>
          <w:sz w:val="26"/>
          <w:szCs w:val="26"/>
        </w:rPr>
        <w:t xml:space="preserve"> los objetivos, las estrategias, las acciones, los responsables de las acciones y el presupuesto asignado para el desarrollo de las mismas.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4703F9" w:rsidRDefault="004703F9" w:rsidP="004222E9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4703F9" w:rsidRPr="00BA5D73" w:rsidRDefault="004703F9" w:rsidP="004222E9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Ley 1753 de 2015: </w:t>
      </w:r>
      <w:r w:rsidRPr="004703F9">
        <w:rPr>
          <w:rFonts w:asciiTheme="majorHAnsi" w:hAnsiTheme="majorHAnsi" w:cs="Arial"/>
          <w:sz w:val="26"/>
          <w:szCs w:val="26"/>
        </w:rPr>
        <w:t>Integró en un solo sistema de gestión los sistemas de desarrollo administrativo y de gestión de la calidad, previstos en la Ley 489 de 1998 y 872 de 2003, respectivamente.</w:t>
      </w:r>
    </w:p>
    <w:p w:rsidR="00BA5D73" w:rsidRDefault="00BA5D73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0A1E01" w:rsidRDefault="000A1E01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BF0E75">
        <w:rPr>
          <w:rFonts w:asciiTheme="majorHAnsi" w:hAnsiTheme="majorHAnsi" w:cs="Arial"/>
          <w:b/>
          <w:sz w:val="26"/>
          <w:szCs w:val="26"/>
        </w:rPr>
        <w:t>Ley 1834 de 2017</w:t>
      </w:r>
      <w:r w:rsidR="0053510F" w:rsidRPr="00BF0E75">
        <w:rPr>
          <w:rFonts w:asciiTheme="majorHAnsi" w:hAnsiTheme="majorHAnsi" w:cs="Arial"/>
          <w:b/>
          <w:sz w:val="26"/>
          <w:szCs w:val="26"/>
        </w:rPr>
        <w:t>:</w:t>
      </w:r>
      <w:r w:rsidR="0053510F">
        <w:rPr>
          <w:rFonts w:asciiTheme="majorHAnsi" w:hAnsiTheme="majorHAnsi" w:cs="Arial"/>
          <w:sz w:val="26"/>
          <w:szCs w:val="26"/>
        </w:rPr>
        <w:t xml:space="preserve"> </w:t>
      </w:r>
      <w:r w:rsidR="00D02B85">
        <w:rPr>
          <w:rFonts w:asciiTheme="majorHAnsi" w:hAnsiTheme="majorHAnsi" w:cs="Arial"/>
          <w:sz w:val="26"/>
          <w:szCs w:val="26"/>
        </w:rPr>
        <w:t>Tiene</w:t>
      </w:r>
      <w:r w:rsidR="0053510F">
        <w:rPr>
          <w:rFonts w:asciiTheme="majorHAnsi" w:hAnsiTheme="majorHAnsi" w:cs="Arial"/>
          <w:sz w:val="26"/>
          <w:szCs w:val="26"/>
        </w:rPr>
        <w:t xml:space="preserve"> como objeto desarrollar, fomentar, incentivar y proteger las industrias creativas</w:t>
      </w:r>
      <w:r w:rsidR="00BF0E75">
        <w:rPr>
          <w:rFonts w:asciiTheme="majorHAnsi" w:hAnsiTheme="majorHAnsi" w:cs="Arial"/>
          <w:sz w:val="26"/>
          <w:szCs w:val="26"/>
        </w:rPr>
        <w:t xml:space="preserve"> y la formulación de una política integral de Economía Creativa.</w:t>
      </w:r>
      <w:r w:rsidR="00D02B85">
        <w:rPr>
          <w:rFonts w:asciiTheme="majorHAnsi" w:hAnsiTheme="majorHAnsi" w:cs="Arial"/>
          <w:sz w:val="26"/>
          <w:szCs w:val="26"/>
        </w:rPr>
        <w:t xml:space="preserve"> Esta Ley le asignó acciones al Ministerio de Cultura en coordinación con otras entidades del orden nacional para el desarrollo de la economía creativa en el país.</w:t>
      </w:r>
    </w:p>
    <w:p w:rsidR="005D5444" w:rsidRDefault="005D5444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D5444" w:rsidRDefault="005D5444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7E7290">
        <w:rPr>
          <w:rFonts w:asciiTheme="majorHAnsi" w:hAnsiTheme="majorHAnsi" w:cs="Arial"/>
          <w:b/>
          <w:sz w:val="26"/>
          <w:szCs w:val="26"/>
        </w:rPr>
        <w:t>Decreto Nacional 1499 de 2017: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="007E7290">
        <w:rPr>
          <w:rFonts w:asciiTheme="majorHAnsi" w:hAnsiTheme="majorHAnsi" w:cs="Arial"/>
          <w:sz w:val="26"/>
          <w:szCs w:val="26"/>
        </w:rPr>
        <w:t>Realizó la a</w:t>
      </w:r>
      <w:r>
        <w:rPr>
          <w:rFonts w:asciiTheme="majorHAnsi" w:hAnsiTheme="majorHAnsi" w:cs="Arial"/>
          <w:sz w:val="26"/>
          <w:szCs w:val="26"/>
        </w:rPr>
        <w:t>ctualización</w:t>
      </w:r>
      <w:r w:rsidR="007E7290">
        <w:rPr>
          <w:rFonts w:asciiTheme="majorHAnsi" w:hAnsiTheme="majorHAnsi" w:cs="Arial"/>
          <w:sz w:val="26"/>
          <w:szCs w:val="26"/>
        </w:rPr>
        <w:t xml:space="preserve"> del</w:t>
      </w:r>
      <w:r>
        <w:rPr>
          <w:rFonts w:asciiTheme="majorHAnsi" w:hAnsiTheme="majorHAnsi" w:cs="Arial"/>
          <w:sz w:val="26"/>
          <w:szCs w:val="26"/>
        </w:rPr>
        <w:t xml:space="preserve"> M</w:t>
      </w:r>
      <w:r w:rsidR="007E7290">
        <w:rPr>
          <w:rFonts w:asciiTheme="majorHAnsi" w:hAnsiTheme="majorHAnsi" w:cs="Arial"/>
          <w:sz w:val="26"/>
          <w:szCs w:val="26"/>
        </w:rPr>
        <w:t xml:space="preserve">odelo </w:t>
      </w:r>
      <w:r>
        <w:rPr>
          <w:rFonts w:asciiTheme="majorHAnsi" w:hAnsiTheme="majorHAnsi" w:cs="Arial"/>
          <w:sz w:val="26"/>
          <w:szCs w:val="26"/>
        </w:rPr>
        <w:t>I</w:t>
      </w:r>
      <w:r w:rsidR="007E7290">
        <w:rPr>
          <w:rFonts w:asciiTheme="majorHAnsi" w:hAnsiTheme="majorHAnsi" w:cs="Arial"/>
          <w:sz w:val="26"/>
          <w:szCs w:val="26"/>
        </w:rPr>
        <w:t xml:space="preserve">ntegrado de </w:t>
      </w:r>
      <w:r>
        <w:rPr>
          <w:rFonts w:asciiTheme="majorHAnsi" w:hAnsiTheme="majorHAnsi" w:cs="Arial"/>
          <w:sz w:val="26"/>
          <w:szCs w:val="26"/>
        </w:rPr>
        <w:t>P</w:t>
      </w:r>
      <w:r w:rsidR="007E7290">
        <w:rPr>
          <w:rFonts w:asciiTheme="majorHAnsi" w:hAnsiTheme="majorHAnsi" w:cs="Arial"/>
          <w:sz w:val="26"/>
          <w:szCs w:val="26"/>
        </w:rPr>
        <w:t xml:space="preserve">laneación y </w:t>
      </w:r>
      <w:r>
        <w:rPr>
          <w:rFonts w:asciiTheme="majorHAnsi" w:hAnsiTheme="majorHAnsi" w:cs="Arial"/>
          <w:sz w:val="26"/>
          <w:szCs w:val="26"/>
        </w:rPr>
        <w:t>G</w:t>
      </w:r>
      <w:r w:rsidR="007E7290">
        <w:rPr>
          <w:rFonts w:asciiTheme="majorHAnsi" w:hAnsiTheme="majorHAnsi" w:cs="Arial"/>
          <w:sz w:val="26"/>
          <w:szCs w:val="26"/>
        </w:rPr>
        <w:t>estión – MIPG, el cual debe ser adoptado por el Ministerio de Cultura como entidad de la Rama Ejecutiva del orden nacional</w:t>
      </w:r>
      <w:r w:rsidR="00884DD4">
        <w:rPr>
          <w:rFonts w:asciiTheme="majorHAnsi" w:hAnsiTheme="majorHAnsi" w:cs="Arial"/>
          <w:sz w:val="26"/>
          <w:szCs w:val="26"/>
        </w:rPr>
        <w:t xml:space="preserve"> y sus entidades adscritas</w:t>
      </w:r>
      <w:r w:rsidR="007E7290">
        <w:rPr>
          <w:rFonts w:asciiTheme="majorHAnsi" w:hAnsiTheme="majorHAnsi" w:cs="Arial"/>
          <w:sz w:val="26"/>
          <w:szCs w:val="26"/>
        </w:rPr>
        <w:t>.</w:t>
      </w:r>
    </w:p>
    <w:p w:rsidR="00BF0E75" w:rsidRDefault="00BF0E75" w:rsidP="004222E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A07AD3" w:rsidRDefault="00A07AD3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Resolución 4101 de 2018: </w:t>
      </w:r>
      <w:r w:rsidRPr="00A07AD3">
        <w:rPr>
          <w:rFonts w:asciiTheme="majorHAnsi" w:hAnsiTheme="majorHAnsi" w:cs="Arial"/>
          <w:sz w:val="26"/>
          <w:szCs w:val="26"/>
        </w:rPr>
        <w:t>Al adoptar la actualización del Modelo Integrado de Planeación y Gestión – MIPG</w:t>
      </w:r>
      <w:r>
        <w:rPr>
          <w:rFonts w:asciiTheme="majorHAnsi" w:hAnsiTheme="majorHAnsi" w:cs="Arial"/>
          <w:sz w:val="26"/>
          <w:szCs w:val="26"/>
        </w:rPr>
        <w:t>, el Ministerio de Cultura expidió esta resolución con el fin de establecer las instancias de coordinación y asesoría para asegurar la planificación y ejecución de las políticas de gestión y desempeño, así como  las políticas, directrices y lineamientos que requieren los diferentes sistemas de gestión y control implementados en el Ministerio. Se conformaron los comités sectorial e institucional de gestión y desempeño, se les asignaron funciones y se crearon mesas técnicas al interior de la entidad</w:t>
      </w:r>
      <w:r w:rsidR="00731A20">
        <w:rPr>
          <w:rFonts w:asciiTheme="majorHAnsi" w:hAnsiTheme="majorHAnsi" w:cs="Arial"/>
          <w:sz w:val="26"/>
          <w:szCs w:val="26"/>
        </w:rPr>
        <w:t>.</w:t>
      </w:r>
    </w:p>
    <w:p w:rsidR="00047DA0" w:rsidRDefault="00047DA0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047DA0" w:rsidRPr="00A07AD3" w:rsidRDefault="00047DA0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 w:rsidRPr="00047DA0">
        <w:rPr>
          <w:rFonts w:asciiTheme="majorHAnsi" w:hAnsiTheme="majorHAnsi" w:cs="Arial"/>
          <w:b/>
          <w:sz w:val="26"/>
          <w:szCs w:val="26"/>
        </w:rPr>
        <w:t>Directiva Presidencial 09 de 2018: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="00302AF0">
        <w:rPr>
          <w:rFonts w:asciiTheme="majorHAnsi" w:hAnsiTheme="majorHAnsi" w:cs="Arial"/>
          <w:sz w:val="26"/>
          <w:szCs w:val="26"/>
        </w:rPr>
        <w:t>La Presidencia de la República estableció directrices sobre a</w:t>
      </w:r>
      <w:r>
        <w:rPr>
          <w:rFonts w:asciiTheme="majorHAnsi" w:hAnsiTheme="majorHAnsi" w:cs="Arial"/>
          <w:sz w:val="26"/>
          <w:szCs w:val="26"/>
        </w:rPr>
        <w:t>usteridad en el gasto</w:t>
      </w:r>
      <w:r w:rsidR="00302AF0">
        <w:rPr>
          <w:rFonts w:asciiTheme="majorHAnsi" w:hAnsiTheme="majorHAnsi" w:cs="Arial"/>
          <w:sz w:val="26"/>
          <w:szCs w:val="26"/>
        </w:rPr>
        <w:t xml:space="preserve"> para las entidades de la Rama Ejecutiva del Orden Nacional</w:t>
      </w:r>
      <w:r>
        <w:rPr>
          <w:rFonts w:asciiTheme="majorHAnsi" w:hAnsiTheme="majorHAnsi" w:cs="Arial"/>
          <w:sz w:val="26"/>
          <w:szCs w:val="26"/>
        </w:rPr>
        <w:t>.</w:t>
      </w:r>
    </w:p>
    <w:p w:rsidR="00A07AD3" w:rsidRDefault="00A07AD3" w:rsidP="004222E9">
      <w:pPr>
        <w:spacing w:after="0"/>
        <w:jc w:val="both"/>
        <w:rPr>
          <w:rFonts w:asciiTheme="majorHAnsi" w:hAnsiTheme="majorHAnsi" w:cs="Arial"/>
          <w:b/>
          <w:sz w:val="26"/>
          <w:szCs w:val="26"/>
        </w:rPr>
      </w:pPr>
    </w:p>
    <w:p w:rsidR="00985535" w:rsidRDefault="00985535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 w:rsidRPr="00BA5D73">
        <w:rPr>
          <w:rFonts w:asciiTheme="majorHAnsi" w:hAnsiTheme="majorHAnsi" w:cs="Arial"/>
          <w:b/>
          <w:sz w:val="26"/>
          <w:szCs w:val="26"/>
        </w:rPr>
        <w:t>Decreto 2120 de 2018</w:t>
      </w:r>
      <w:r w:rsidR="00BA5D73" w:rsidRPr="00BA5D73">
        <w:rPr>
          <w:rFonts w:asciiTheme="majorHAnsi" w:hAnsiTheme="majorHAnsi" w:cs="Arial"/>
          <w:b/>
          <w:sz w:val="26"/>
          <w:szCs w:val="26"/>
        </w:rPr>
        <w:t>:</w:t>
      </w:r>
      <w:r w:rsidRPr="000A1E01">
        <w:rPr>
          <w:rFonts w:asciiTheme="majorHAnsi" w:hAnsiTheme="majorHAnsi" w:cs="Arial"/>
          <w:sz w:val="26"/>
          <w:szCs w:val="26"/>
        </w:rPr>
        <w:t xml:space="preserve"> Por el cual se modifica la estructura del Minister</w:t>
      </w:r>
      <w:r w:rsidR="000A1E01">
        <w:rPr>
          <w:rFonts w:asciiTheme="majorHAnsi" w:hAnsiTheme="majorHAnsi" w:cs="Arial"/>
          <w:sz w:val="26"/>
          <w:szCs w:val="26"/>
        </w:rPr>
        <w:t>i</w:t>
      </w:r>
      <w:r w:rsidRPr="000A1E01">
        <w:rPr>
          <w:rFonts w:asciiTheme="majorHAnsi" w:hAnsiTheme="majorHAnsi" w:cs="Arial"/>
          <w:sz w:val="26"/>
          <w:szCs w:val="26"/>
        </w:rPr>
        <w:t>o de Cultura</w:t>
      </w:r>
      <w:r w:rsidR="00731A20">
        <w:rPr>
          <w:rFonts w:asciiTheme="majorHAnsi" w:hAnsiTheme="majorHAnsi" w:cs="Arial"/>
          <w:sz w:val="26"/>
          <w:szCs w:val="26"/>
        </w:rPr>
        <w:t>, con el fin de adecuar y modernizar la entidad para el desarrollo y consolidación de la economía naranja.</w:t>
      </w:r>
    </w:p>
    <w:p w:rsidR="002D4A1C" w:rsidRPr="000A1E01" w:rsidRDefault="002D4A1C" w:rsidP="004222E9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9C620B" w:rsidRPr="00FD17A1" w:rsidRDefault="009C620B" w:rsidP="009C620B">
      <w:pPr>
        <w:pStyle w:val="Ttulo1"/>
        <w:numPr>
          <w:ilvl w:val="0"/>
          <w:numId w:val="1"/>
        </w:numPr>
        <w:rPr>
          <w:color w:val="244061" w:themeColor="accent1" w:themeShade="80"/>
        </w:rPr>
      </w:pPr>
      <w:bookmarkStart w:id="3" w:name="_Toc533173499"/>
      <w:r w:rsidRPr="00FD17A1">
        <w:rPr>
          <w:color w:val="244061" w:themeColor="accent1" w:themeShade="80"/>
        </w:rPr>
        <w:t xml:space="preserve">ANTECEDENTES </w:t>
      </w:r>
      <w:r w:rsidR="007064C6">
        <w:rPr>
          <w:color w:val="244061" w:themeColor="accent1" w:themeShade="80"/>
        </w:rPr>
        <w:t>PARA</w:t>
      </w:r>
      <w:r w:rsidRPr="00FD17A1">
        <w:rPr>
          <w:color w:val="244061" w:themeColor="accent1" w:themeShade="80"/>
        </w:rPr>
        <w:t xml:space="preserve"> LA FORMULACIÓN</w:t>
      </w:r>
      <w:r w:rsidR="00ED07C8">
        <w:rPr>
          <w:color w:val="244061" w:themeColor="accent1" w:themeShade="80"/>
        </w:rPr>
        <w:t xml:space="preserve"> D</w:t>
      </w:r>
      <w:r w:rsidR="007064C6">
        <w:rPr>
          <w:color w:val="244061" w:themeColor="accent1" w:themeShade="80"/>
        </w:rPr>
        <w:t>E</w:t>
      </w:r>
      <w:r w:rsidR="00ED07C8">
        <w:rPr>
          <w:color w:val="244061" w:themeColor="accent1" w:themeShade="80"/>
        </w:rPr>
        <w:t xml:space="preserve"> </w:t>
      </w:r>
      <w:r w:rsidR="007064C6">
        <w:rPr>
          <w:color w:val="244061" w:themeColor="accent1" w:themeShade="80"/>
        </w:rPr>
        <w:t>LA PLANEACIÓN</w:t>
      </w:r>
      <w:bookmarkEnd w:id="3"/>
    </w:p>
    <w:p w:rsidR="00715053" w:rsidRDefault="00715053" w:rsidP="007C25E2">
      <w:pPr>
        <w:jc w:val="both"/>
        <w:rPr>
          <w:rFonts w:asciiTheme="majorHAnsi" w:hAnsiTheme="majorHAnsi" w:cs="Arial"/>
          <w:sz w:val="26"/>
          <w:szCs w:val="26"/>
        </w:rPr>
      </w:pPr>
    </w:p>
    <w:p w:rsidR="00DA2BB3" w:rsidRDefault="00A94C64" w:rsidP="007C25E2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El Ministerio de Cultura, a través de la Oficina Asesora de Planeación, elaboró un documento preliminar como insumo para la construcción de las bases técnicas del Plan Nacional de Desarrollo</w:t>
      </w:r>
      <w:r w:rsidR="00DA2BB3">
        <w:rPr>
          <w:rFonts w:asciiTheme="majorHAnsi" w:hAnsiTheme="majorHAnsi" w:cs="Arial"/>
          <w:sz w:val="26"/>
          <w:szCs w:val="26"/>
        </w:rPr>
        <w:t xml:space="preserve"> 2018-2022</w:t>
      </w:r>
      <w:r>
        <w:rPr>
          <w:rFonts w:asciiTheme="majorHAnsi" w:hAnsiTheme="majorHAnsi" w:cs="Arial"/>
          <w:sz w:val="26"/>
          <w:szCs w:val="26"/>
        </w:rPr>
        <w:t>, el cual fue publicado por el Departamento Nacional de Planeación.</w:t>
      </w:r>
      <w:r w:rsidR="00DA2BB3">
        <w:rPr>
          <w:rFonts w:asciiTheme="majorHAnsi" w:hAnsiTheme="majorHAnsi" w:cs="Arial"/>
          <w:sz w:val="26"/>
          <w:szCs w:val="26"/>
        </w:rPr>
        <w:t xml:space="preserve"> </w:t>
      </w:r>
    </w:p>
    <w:p w:rsidR="0021153D" w:rsidRDefault="00302AF0" w:rsidP="007C25E2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En este documento</w:t>
      </w:r>
      <w:r w:rsidR="00DA2BB3">
        <w:rPr>
          <w:rFonts w:asciiTheme="majorHAnsi" w:hAnsiTheme="majorHAnsi" w:cs="Arial"/>
          <w:sz w:val="26"/>
          <w:szCs w:val="26"/>
        </w:rPr>
        <w:t xml:space="preserve">, el sector cultura se visualiza en el </w:t>
      </w:r>
      <w:r w:rsidR="00DA2BB3" w:rsidRPr="00DA2BB3">
        <w:rPr>
          <w:rFonts w:asciiTheme="majorHAnsi" w:hAnsiTheme="majorHAnsi" w:cs="Arial"/>
          <w:i/>
          <w:sz w:val="26"/>
          <w:szCs w:val="26"/>
        </w:rPr>
        <w:t>Pacto X. Pacto por la cultura y la creatividad: protección y promoción de nuestra cultura y desarrollo de la economía naranja</w:t>
      </w:r>
      <w:r w:rsidR="00DA2BB3">
        <w:rPr>
          <w:rFonts w:asciiTheme="majorHAnsi" w:hAnsiTheme="majorHAnsi" w:cs="Arial"/>
          <w:sz w:val="26"/>
          <w:szCs w:val="26"/>
        </w:rPr>
        <w:t xml:space="preserve">, en las líneas </w:t>
      </w:r>
      <w:r w:rsidR="00DA2BB3" w:rsidRPr="00DA2BB3">
        <w:rPr>
          <w:rFonts w:asciiTheme="majorHAnsi" w:hAnsiTheme="majorHAnsi" w:cs="Arial"/>
          <w:i/>
          <w:sz w:val="26"/>
          <w:szCs w:val="26"/>
        </w:rPr>
        <w:t>A. Todos somos cultura: la esencia de un país que se transforma desde los territorios</w:t>
      </w:r>
      <w:r w:rsidR="00DA2BB3">
        <w:rPr>
          <w:rFonts w:asciiTheme="majorHAnsi" w:hAnsiTheme="majorHAnsi" w:cs="Arial"/>
          <w:sz w:val="26"/>
          <w:szCs w:val="26"/>
        </w:rPr>
        <w:t xml:space="preserve"> y </w:t>
      </w:r>
      <w:r w:rsidR="00DA2BB3">
        <w:rPr>
          <w:rFonts w:asciiTheme="majorHAnsi" w:hAnsiTheme="majorHAnsi" w:cs="Arial"/>
          <w:i/>
          <w:sz w:val="26"/>
          <w:szCs w:val="26"/>
        </w:rPr>
        <w:t xml:space="preserve">B. </w:t>
      </w:r>
      <w:r w:rsidR="00DA2BB3" w:rsidRPr="00DA2BB3">
        <w:rPr>
          <w:rFonts w:asciiTheme="majorHAnsi" w:hAnsiTheme="majorHAnsi" w:cs="Arial"/>
          <w:i/>
          <w:sz w:val="26"/>
          <w:szCs w:val="26"/>
        </w:rPr>
        <w:t>Colombia naranja: desarrollo del emprendimiento de base artística, creativa y tecnológica para la creación de las nuevas industrias</w:t>
      </w:r>
      <w:r w:rsidR="00DA2BB3">
        <w:rPr>
          <w:rFonts w:asciiTheme="majorHAnsi" w:hAnsiTheme="majorHAnsi" w:cs="Arial"/>
          <w:sz w:val="26"/>
          <w:szCs w:val="26"/>
        </w:rPr>
        <w:t>, con los siguientes objetivos y estrategias:</w:t>
      </w:r>
    </w:p>
    <w:p w:rsidR="0021153D" w:rsidRDefault="0021153D" w:rsidP="007C25E2">
      <w:pPr>
        <w:jc w:val="both"/>
        <w:rPr>
          <w:noProof/>
          <w:lang w:eastAsia="es-CO"/>
        </w:rPr>
      </w:pPr>
    </w:p>
    <w:p w:rsidR="0067541E" w:rsidRDefault="0067541E" w:rsidP="007C25E2">
      <w:pPr>
        <w:jc w:val="both"/>
        <w:rPr>
          <w:noProof/>
          <w:lang w:eastAsia="es-CO"/>
        </w:rPr>
      </w:pPr>
    </w:p>
    <w:p w:rsidR="0021153D" w:rsidRDefault="0021153D" w:rsidP="007C25E2">
      <w:pPr>
        <w:jc w:val="both"/>
        <w:rPr>
          <w:noProof/>
          <w:lang w:eastAsia="es-CO"/>
        </w:rPr>
      </w:pPr>
    </w:p>
    <w:p w:rsidR="00A8361D" w:rsidRDefault="00A8361D" w:rsidP="007C25E2">
      <w:pPr>
        <w:jc w:val="both"/>
        <w:rPr>
          <w:noProof/>
          <w:lang w:eastAsia="es-CO"/>
        </w:rPr>
      </w:pPr>
    </w:p>
    <w:p w:rsidR="008E4664" w:rsidRDefault="00A94C64" w:rsidP="007C25E2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 wp14:anchorId="542C0B3E" wp14:editId="4CD35380">
            <wp:extent cx="5553075" cy="269275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19"/>
                    <a:stretch/>
                  </pic:blipFill>
                  <pic:spPr bwMode="auto">
                    <a:xfrm>
                      <a:off x="0" y="0"/>
                      <a:ext cx="5553075" cy="269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41E" w:rsidRDefault="0067541E" w:rsidP="007C25E2">
      <w:pPr>
        <w:jc w:val="both"/>
        <w:rPr>
          <w:rFonts w:asciiTheme="majorHAnsi" w:hAnsiTheme="majorHAnsi" w:cs="Arial"/>
          <w:sz w:val="26"/>
          <w:szCs w:val="26"/>
        </w:rPr>
      </w:pPr>
    </w:p>
    <w:p w:rsidR="00715053" w:rsidRDefault="00715053" w:rsidP="00ED07C8">
      <w:pPr>
        <w:jc w:val="center"/>
        <w:rPr>
          <w:rFonts w:asciiTheme="majorHAnsi" w:hAnsiTheme="majorHAnsi" w:cs="Arial"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 wp14:anchorId="63E7C9E7" wp14:editId="4E398FA3">
            <wp:extent cx="5612130" cy="303085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78" w:rsidRPr="00980778" w:rsidRDefault="00980778" w:rsidP="0098077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80778">
        <w:rPr>
          <w:rFonts w:asciiTheme="majorHAnsi" w:hAnsiTheme="majorHAnsi"/>
          <w:b/>
          <w:sz w:val="20"/>
          <w:szCs w:val="20"/>
        </w:rPr>
        <w:t>Fuente:</w:t>
      </w:r>
      <w:r w:rsidRPr="00980778">
        <w:rPr>
          <w:rFonts w:asciiTheme="majorHAnsi" w:hAnsiTheme="majorHAnsi"/>
          <w:sz w:val="20"/>
          <w:szCs w:val="20"/>
        </w:rPr>
        <w:t xml:space="preserve"> Oficina Asesora de Planeación – Ministerio de Cultura (2018)</w:t>
      </w:r>
    </w:p>
    <w:p w:rsidR="00A94C64" w:rsidRDefault="00A94C64" w:rsidP="007C25E2">
      <w:pPr>
        <w:jc w:val="both"/>
        <w:rPr>
          <w:rFonts w:asciiTheme="majorHAnsi" w:hAnsiTheme="majorHAnsi" w:cs="Arial"/>
          <w:sz w:val="26"/>
          <w:szCs w:val="26"/>
        </w:rPr>
      </w:pPr>
    </w:p>
    <w:p w:rsidR="0086550C" w:rsidRDefault="00073704" w:rsidP="00C779AD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Es</w:t>
      </w:r>
      <w:r w:rsidR="00381950">
        <w:rPr>
          <w:rFonts w:asciiTheme="majorHAnsi" w:hAnsiTheme="majorHAnsi" w:cs="Arial"/>
          <w:sz w:val="26"/>
          <w:szCs w:val="26"/>
        </w:rPr>
        <w:t xml:space="preserve"> así como el documento de las bases del Plan Nacional de Desarrollo 2018-2022 se constituye en el principal referente de la planeación </w:t>
      </w:r>
      <w:r w:rsidR="00C861E5">
        <w:rPr>
          <w:rFonts w:asciiTheme="majorHAnsi" w:hAnsiTheme="majorHAnsi" w:cs="Arial"/>
          <w:sz w:val="26"/>
          <w:szCs w:val="26"/>
        </w:rPr>
        <w:t xml:space="preserve">sectorial e </w:t>
      </w:r>
      <w:r w:rsidR="00381950">
        <w:rPr>
          <w:rFonts w:asciiTheme="majorHAnsi" w:hAnsiTheme="majorHAnsi" w:cs="Arial"/>
          <w:sz w:val="26"/>
          <w:szCs w:val="26"/>
        </w:rPr>
        <w:t xml:space="preserve">institucional. </w:t>
      </w:r>
    </w:p>
    <w:p w:rsidR="007C25E2" w:rsidRDefault="0067541E" w:rsidP="008227F4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A nivel sectorial, e</w:t>
      </w:r>
      <w:r w:rsidR="00023E38">
        <w:rPr>
          <w:rFonts w:asciiTheme="majorHAnsi" w:hAnsiTheme="majorHAnsi" w:cs="Arial"/>
          <w:sz w:val="26"/>
          <w:szCs w:val="26"/>
        </w:rPr>
        <w:t>l</w:t>
      </w:r>
      <w:r w:rsidR="007C25E2" w:rsidRPr="007C25E2">
        <w:rPr>
          <w:rFonts w:asciiTheme="majorHAnsi" w:hAnsiTheme="majorHAnsi" w:cs="Arial"/>
          <w:sz w:val="26"/>
          <w:szCs w:val="26"/>
        </w:rPr>
        <w:t xml:space="preserve"> Ministerio de Cultura </w:t>
      </w:r>
      <w:r w:rsidR="00F230AB">
        <w:rPr>
          <w:rFonts w:asciiTheme="majorHAnsi" w:hAnsiTheme="majorHAnsi" w:cs="Arial"/>
          <w:sz w:val="26"/>
          <w:szCs w:val="26"/>
        </w:rPr>
        <w:t xml:space="preserve">lidera la planeación estratégica </w:t>
      </w:r>
      <w:r w:rsidR="00C73CE6">
        <w:rPr>
          <w:rFonts w:asciiTheme="majorHAnsi" w:hAnsiTheme="majorHAnsi" w:cs="Arial"/>
          <w:sz w:val="26"/>
          <w:szCs w:val="26"/>
        </w:rPr>
        <w:t>de sus entidades adscritas: Instituto Caro y Cuervo, Archivo General de la Nación - AGN e Instituto Colombiano de Antropología e Historia – ICANH.</w:t>
      </w:r>
    </w:p>
    <w:p w:rsidR="0067541E" w:rsidRDefault="0067541E" w:rsidP="008227F4">
      <w:pPr>
        <w:jc w:val="both"/>
        <w:rPr>
          <w:rFonts w:asciiTheme="majorHAnsi" w:hAnsiTheme="majorHAnsi" w:cs="Arial"/>
          <w:sz w:val="26"/>
          <w:szCs w:val="26"/>
        </w:rPr>
      </w:pPr>
    </w:p>
    <w:p w:rsidR="0086550C" w:rsidRDefault="00A94C64" w:rsidP="00DF4A80">
      <w:pPr>
        <w:jc w:val="center"/>
      </w:pPr>
      <w:r>
        <w:rPr>
          <w:noProof/>
          <w:lang w:eastAsia="es-CO"/>
        </w:rPr>
        <w:drawing>
          <wp:inline distT="0" distB="0" distL="0" distR="0" wp14:anchorId="265C3F82" wp14:editId="75058B8F">
            <wp:extent cx="5612130" cy="35020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E2" w:rsidRPr="00980778" w:rsidRDefault="007C25E2" w:rsidP="008227F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80778">
        <w:rPr>
          <w:rFonts w:asciiTheme="majorHAnsi" w:hAnsiTheme="majorHAnsi"/>
          <w:b/>
          <w:sz w:val="20"/>
          <w:szCs w:val="20"/>
        </w:rPr>
        <w:t>Fuente:</w:t>
      </w:r>
      <w:r w:rsidRPr="00980778">
        <w:rPr>
          <w:rFonts w:asciiTheme="majorHAnsi" w:hAnsiTheme="majorHAnsi"/>
          <w:sz w:val="20"/>
          <w:szCs w:val="20"/>
        </w:rPr>
        <w:t xml:space="preserve"> Oficina Asesora de Planeación – Ministerio de Cultura</w:t>
      </w:r>
      <w:r w:rsidR="00023E38" w:rsidRPr="00980778">
        <w:rPr>
          <w:rFonts w:asciiTheme="majorHAnsi" w:hAnsiTheme="majorHAnsi"/>
          <w:sz w:val="20"/>
          <w:szCs w:val="20"/>
        </w:rPr>
        <w:t xml:space="preserve"> (2018)</w:t>
      </w:r>
    </w:p>
    <w:p w:rsidR="00C73CE6" w:rsidRDefault="00C73CE6" w:rsidP="008227F4">
      <w:pPr>
        <w:spacing w:after="0"/>
        <w:jc w:val="center"/>
      </w:pPr>
    </w:p>
    <w:p w:rsidR="00843CB1" w:rsidRDefault="00843CB1" w:rsidP="00C73CE6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C73CE6" w:rsidRDefault="00C73CE6" w:rsidP="00C73CE6">
      <w:pPr>
        <w:spacing w:after="0"/>
        <w:jc w:val="both"/>
        <w:rPr>
          <w:rFonts w:asciiTheme="majorHAnsi" w:hAnsiTheme="majorHAnsi" w:cs="Arial"/>
          <w:sz w:val="26"/>
          <w:szCs w:val="26"/>
        </w:rPr>
      </w:pPr>
      <w:r w:rsidRPr="00FD7751">
        <w:rPr>
          <w:rFonts w:asciiTheme="majorHAnsi" w:hAnsiTheme="majorHAnsi" w:cs="Arial"/>
          <w:sz w:val="26"/>
          <w:szCs w:val="26"/>
        </w:rPr>
        <w:t xml:space="preserve">A nivel institucional, el Ministerio de Cultura </w:t>
      </w:r>
      <w:r w:rsidR="00FD7751">
        <w:rPr>
          <w:rFonts w:asciiTheme="majorHAnsi" w:hAnsiTheme="majorHAnsi" w:cs="Arial"/>
          <w:sz w:val="26"/>
          <w:szCs w:val="26"/>
        </w:rPr>
        <w:t>realiza su</w:t>
      </w:r>
      <w:r w:rsidR="00FD7751" w:rsidRPr="00FD7751">
        <w:rPr>
          <w:rFonts w:asciiTheme="majorHAnsi" w:hAnsiTheme="majorHAnsi" w:cs="Arial"/>
          <w:sz w:val="26"/>
          <w:szCs w:val="26"/>
        </w:rPr>
        <w:t xml:space="preserve"> planeación </w:t>
      </w:r>
      <w:r w:rsidR="00FD7751">
        <w:rPr>
          <w:rFonts w:asciiTheme="majorHAnsi" w:hAnsiTheme="majorHAnsi" w:cs="Arial"/>
          <w:sz w:val="26"/>
          <w:szCs w:val="26"/>
        </w:rPr>
        <w:t>teniendo como referencia los siguientes elementos del direccionamiento estratégico:</w:t>
      </w:r>
    </w:p>
    <w:p w:rsidR="00FD7751" w:rsidRDefault="00FD7751" w:rsidP="00C73CE6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:rsidR="000F26BE" w:rsidRDefault="00044C9C" w:rsidP="00E802B3">
      <w:pPr>
        <w:spacing w:after="0"/>
        <w:jc w:val="center"/>
        <w:rPr>
          <w:rFonts w:asciiTheme="majorHAnsi" w:hAnsiTheme="majorHAnsi" w:cs="Arial"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 wp14:anchorId="54C931C9" wp14:editId="4587D020">
            <wp:extent cx="3962400" cy="31316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4801" cy="314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F6" w:rsidRPr="003C10F6" w:rsidRDefault="003C10F6" w:rsidP="00E802B3">
      <w:pPr>
        <w:spacing w:after="0"/>
        <w:jc w:val="center"/>
        <w:rPr>
          <w:rFonts w:asciiTheme="majorHAnsi" w:hAnsiTheme="majorHAnsi" w:cs="Arial"/>
          <w:sz w:val="20"/>
          <w:szCs w:val="26"/>
        </w:rPr>
      </w:pPr>
    </w:p>
    <w:p w:rsidR="003C10F6" w:rsidRDefault="003C10F6" w:rsidP="003C10F6">
      <w:pPr>
        <w:spacing w:after="0"/>
        <w:ind w:left="708" w:hanging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64E8AB8" wp14:editId="6E2CA65C">
            <wp:extent cx="5048250" cy="430854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9964" cy="43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2B3" w:rsidRPr="00E802B3">
        <w:rPr>
          <w:rFonts w:asciiTheme="majorHAnsi" w:hAnsiTheme="majorHAnsi"/>
          <w:b/>
          <w:sz w:val="20"/>
          <w:szCs w:val="20"/>
        </w:rPr>
        <w:t xml:space="preserve"> </w:t>
      </w:r>
    </w:p>
    <w:p w:rsidR="00E802B3" w:rsidRPr="00980778" w:rsidRDefault="00E802B3" w:rsidP="003C10F6">
      <w:pPr>
        <w:spacing w:after="0"/>
        <w:ind w:left="708" w:hanging="708"/>
        <w:jc w:val="center"/>
        <w:rPr>
          <w:rFonts w:asciiTheme="majorHAnsi" w:hAnsiTheme="majorHAnsi"/>
          <w:sz w:val="20"/>
          <w:szCs w:val="20"/>
        </w:rPr>
      </w:pPr>
      <w:r w:rsidRPr="00980778">
        <w:rPr>
          <w:rFonts w:asciiTheme="majorHAnsi" w:hAnsiTheme="majorHAnsi"/>
          <w:b/>
          <w:sz w:val="20"/>
          <w:szCs w:val="20"/>
        </w:rPr>
        <w:t>Fuente:</w:t>
      </w:r>
      <w:r w:rsidRPr="00980778">
        <w:rPr>
          <w:rFonts w:asciiTheme="majorHAnsi" w:hAnsiTheme="majorHAnsi"/>
          <w:sz w:val="20"/>
          <w:szCs w:val="20"/>
        </w:rPr>
        <w:t xml:space="preserve"> Oficina Asesora de Planeación – Ministerio de Cultura (2018)</w:t>
      </w:r>
    </w:p>
    <w:p w:rsidR="009C7877" w:rsidRDefault="009C7877" w:rsidP="009C7877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Adicional a esto, el Ministerio de Cultura adelantó un ejercicio de </w:t>
      </w:r>
      <w:r w:rsidR="003A723A">
        <w:rPr>
          <w:rFonts w:asciiTheme="majorHAnsi" w:hAnsiTheme="majorHAnsi" w:cs="Arial"/>
          <w:sz w:val="26"/>
          <w:szCs w:val="26"/>
        </w:rPr>
        <w:t>definición</w:t>
      </w:r>
      <w:r>
        <w:rPr>
          <w:rFonts w:asciiTheme="majorHAnsi" w:hAnsiTheme="majorHAnsi" w:cs="Arial"/>
          <w:sz w:val="26"/>
          <w:szCs w:val="26"/>
        </w:rPr>
        <w:t xml:space="preserve"> del contexto de la entidad a partir de la aplicación de una matriz DOFA (Debilidades, Oportunidades, Fortalezas y Amenazas), la cual fue insumo para que las áreas al interior de la entidad </w:t>
      </w:r>
      <w:r w:rsidR="003A723A">
        <w:rPr>
          <w:rFonts w:asciiTheme="majorHAnsi" w:hAnsiTheme="majorHAnsi" w:cs="Arial"/>
          <w:sz w:val="26"/>
          <w:szCs w:val="26"/>
        </w:rPr>
        <w:t>identificaran</w:t>
      </w:r>
      <w:r>
        <w:rPr>
          <w:rFonts w:asciiTheme="majorHAnsi" w:hAnsiTheme="majorHAnsi" w:cs="Arial"/>
          <w:sz w:val="26"/>
          <w:szCs w:val="26"/>
        </w:rPr>
        <w:t xml:space="preserve"> las necesidades y expectativas de las partes interesadas y así formularan acciones para su atención.</w:t>
      </w:r>
    </w:p>
    <w:p w:rsidR="000C38F3" w:rsidRDefault="000C38F3" w:rsidP="009C7877">
      <w:pPr>
        <w:jc w:val="both"/>
        <w:rPr>
          <w:rFonts w:asciiTheme="majorHAnsi" w:hAnsiTheme="majorHAnsi" w:cs="Arial"/>
          <w:sz w:val="26"/>
          <w:szCs w:val="26"/>
        </w:rPr>
      </w:pPr>
    </w:p>
    <w:p w:rsidR="009C7877" w:rsidRDefault="009C7877" w:rsidP="009C7877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 wp14:anchorId="699BBF1F" wp14:editId="16FFFEE0">
            <wp:extent cx="5612130" cy="268732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5E19F74" wp14:editId="6BAF1B4D">
            <wp:extent cx="5610225" cy="27717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77" w:rsidRDefault="009C7877" w:rsidP="009C787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80778">
        <w:rPr>
          <w:rFonts w:asciiTheme="majorHAnsi" w:hAnsiTheme="majorHAnsi"/>
          <w:b/>
          <w:sz w:val="20"/>
          <w:szCs w:val="20"/>
        </w:rPr>
        <w:t>Fuente:</w:t>
      </w:r>
      <w:r w:rsidRPr="00980778">
        <w:rPr>
          <w:rFonts w:asciiTheme="majorHAnsi" w:hAnsiTheme="majorHAnsi"/>
          <w:sz w:val="20"/>
          <w:szCs w:val="20"/>
        </w:rPr>
        <w:t xml:space="preserve"> Oficina Asesora de Planeación – Ministerio de Cultura (2018)</w:t>
      </w:r>
    </w:p>
    <w:p w:rsidR="00ED1EAC" w:rsidRDefault="00ED1EAC" w:rsidP="001871C7">
      <w:pPr>
        <w:jc w:val="both"/>
        <w:rPr>
          <w:rFonts w:asciiTheme="majorHAnsi" w:hAnsiTheme="majorHAnsi" w:cs="Arial"/>
          <w:sz w:val="26"/>
          <w:szCs w:val="26"/>
        </w:rPr>
      </w:pPr>
    </w:p>
    <w:p w:rsidR="00DE0265" w:rsidRPr="001871C7" w:rsidRDefault="00CB778D" w:rsidP="001871C7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Por último, </w:t>
      </w:r>
      <w:r w:rsidR="00DE0265">
        <w:rPr>
          <w:rFonts w:asciiTheme="majorHAnsi" w:hAnsiTheme="majorHAnsi" w:cs="Arial"/>
          <w:sz w:val="26"/>
          <w:szCs w:val="26"/>
        </w:rPr>
        <w:t>la Ministra emitió memorando interno</w:t>
      </w:r>
      <w:r>
        <w:rPr>
          <w:rFonts w:asciiTheme="majorHAnsi" w:hAnsiTheme="majorHAnsi" w:cs="Arial"/>
          <w:sz w:val="26"/>
          <w:szCs w:val="26"/>
        </w:rPr>
        <w:t xml:space="preserve"> dirigido al viceministro, secretaría general, unidades administrativas especiales, directores, jefes de oficina y coordinadores</w:t>
      </w:r>
      <w:r w:rsidR="00DE0265">
        <w:rPr>
          <w:rFonts w:asciiTheme="majorHAnsi" w:hAnsiTheme="majorHAnsi" w:cs="Arial"/>
          <w:sz w:val="26"/>
          <w:szCs w:val="26"/>
        </w:rPr>
        <w:t xml:space="preserve"> con </w:t>
      </w:r>
      <w:r w:rsidR="001871C7">
        <w:rPr>
          <w:rFonts w:asciiTheme="majorHAnsi" w:hAnsiTheme="majorHAnsi" w:cs="Arial"/>
          <w:sz w:val="26"/>
          <w:szCs w:val="26"/>
        </w:rPr>
        <w:t xml:space="preserve">la metodología y </w:t>
      </w:r>
      <w:r w:rsidR="00DE0265">
        <w:rPr>
          <w:rFonts w:asciiTheme="majorHAnsi" w:hAnsiTheme="majorHAnsi" w:cs="Arial"/>
          <w:sz w:val="26"/>
          <w:szCs w:val="26"/>
        </w:rPr>
        <w:t>los lineamientos para la formulación de la planeación institucional</w:t>
      </w:r>
      <w:r w:rsidR="001871C7">
        <w:rPr>
          <w:rFonts w:asciiTheme="majorHAnsi" w:hAnsiTheme="majorHAnsi" w:cs="Arial"/>
          <w:sz w:val="26"/>
          <w:szCs w:val="26"/>
        </w:rPr>
        <w:t xml:space="preserve"> y del plan de acción de la vigencia 2019.</w:t>
      </w:r>
    </w:p>
    <w:p w:rsidR="001871C7" w:rsidRDefault="00CB45BF" w:rsidP="001871C7">
      <w:pPr>
        <w:pStyle w:val="Ttulo1"/>
        <w:numPr>
          <w:ilvl w:val="0"/>
          <w:numId w:val="1"/>
        </w:numPr>
        <w:rPr>
          <w:color w:val="244061" w:themeColor="accent1" w:themeShade="80"/>
        </w:rPr>
      </w:pPr>
      <w:bookmarkStart w:id="4" w:name="_Toc533173500"/>
      <w:r>
        <w:rPr>
          <w:color w:val="244061" w:themeColor="accent1" w:themeShade="80"/>
        </w:rPr>
        <w:t>PLAN ESTRATÉGICO INSTITUCIONAL</w:t>
      </w:r>
      <w:r w:rsidR="00DE0265">
        <w:rPr>
          <w:color w:val="244061" w:themeColor="accent1" w:themeShade="80"/>
        </w:rPr>
        <w:t xml:space="preserve"> 2018-2022</w:t>
      </w:r>
      <w:bookmarkEnd w:id="4"/>
    </w:p>
    <w:p w:rsidR="003B6109" w:rsidRDefault="003B6109" w:rsidP="003B6109"/>
    <w:p w:rsidR="0071130C" w:rsidRDefault="003B6109" w:rsidP="003B6109">
      <w:pPr>
        <w:jc w:val="both"/>
        <w:rPr>
          <w:rFonts w:asciiTheme="majorHAnsi" w:hAnsiTheme="majorHAnsi" w:cs="Arial"/>
          <w:sz w:val="26"/>
          <w:szCs w:val="26"/>
        </w:rPr>
      </w:pPr>
      <w:r w:rsidRPr="000D1859">
        <w:rPr>
          <w:rFonts w:asciiTheme="majorHAnsi" w:hAnsiTheme="majorHAnsi" w:cs="Arial"/>
          <w:sz w:val="26"/>
          <w:szCs w:val="26"/>
        </w:rPr>
        <w:t>A continuación se presenta el plan estratégico institucional del Ministerio de Cultura por cada objetivo estratégico, presentado las estrategias con sus indicadores y metas asociadas:</w:t>
      </w:r>
    </w:p>
    <w:p w:rsidR="000D1859" w:rsidRPr="000D1859" w:rsidRDefault="000D1859" w:rsidP="003B6109">
      <w:pPr>
        <w:jc w:val="both"/>
        <w:rPr>
          <w:rFonts w:asciiTheme="majorHAnsi" w:hAnsiTheme="majorHAnsi" w:cs="Arial"/>
          <w:sz w:val="26"/>
          <w:szCs w:val="26"/>
        </w:rPr>
      </w:pPr>
    </w:p>
    <w:p w:rsidR="00400B56" w:rsidRPr="001871C7" w:rsidRDefault="00676D29" w:rsidP="0071130C">
      <w:pPr>
        <w:jc w:val="center"/>
      </w:pPr>
      <w:r>
        <w:rPr>
          <w:noProof/>
          <w:lang w:eastAsia="es-CO"/>
        </w:rPr>
        <w:drawing>
          <wp:inline distT="0" distB="0" distL="0" distR="0" wp14:anchorId="14FE797C" wp14:editId="3ED3F262">
            <wp:extent cx="3236149" cy="1468307"/>
            <wp:effectExtent l="0" t="0" r="254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133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F0" w:rsidRDefault="00A57E81" w:rsidP="00302AF0">
      <w:r>
        <w:t>Ver anexo:</w:t>
      </w:r>
    </w:p>
    <w:p w:rsidR="00EB4D1A" w:rsidRPr="00E14822" w:rsidRDefault="00DE0265" w:rsidP="00E14822">
      <w:pPr>
        <w:pStyle w:val="Ttulo1"/>
        <w:numPr>
          <w:ilvl w:val="0"/>
          <w:numId w:val="1"/>
        </w:numPr>
        <w:spacing w:after="240"/>
        <w:rPr>
          <w:color w:val="244061" w:themeColor="accent1" w:themeShade="80"/>
        </w:rPr>
      </w:pPr>
      <w:bookmarkStart w:id="5" w:name="_Toc533173501"/>
      <w:r>
        <w:rPr>
          <w:color w:val="244061" w:themeColor="accent1" w:themeShade="80"/>
        </w:rPr>
        <w:t>PLAN DE ACCIÓN 2019</w:t>
      </w:r>
      <w:bookmarkEnd w:id="5"/>
    </w:p>
    <w:p w:rsidR="00676D29" w:rsidRPr="00E14822" w:rsidRDefault="00EB4D1A" w:rsidP="00E14822">
      <w:r>
        <w:t>El plan de acción puede se</w:t>
      </w:r>
      <w:r w:rsidR="00676D29">
        <w:t xml:space="preserve">r consultado en el anexo No. 1 </w:t>
      </w:r>
      <w:r w:rsidR="00E61DA1">
        <w:t xml:space="preserve">- </w:t>
      </w:r>
      <w:r w:rsidR="00676D29">
        <w:t xml:space="preserve">Plan </w:t>
      </w:r>
      <w:r w:rsidR="00E61DA1">
        <w:t xml:space="preserve">Estratégico Institucional 2018-2022 – Plan </w:t>
      </w:r>
      <w:r w:rsidR="00676D29">
        <w:t>de Acción Ministerio de Cultura</w:t>
      </w:r>
      <w:r w:rsidR="00E61DA1">
        <w:t xml:space="preserve"> 2019</w:t>
      </w:r>
      <w:r w:rsidR="00676D29">
        <w:t>.</w:t>
      </w:r>
    </w:p>
    <w:sectPr w:rsidR="00676D29" w:rsidRPr="00E14822" w:rsidSect="00C73CE6">
      <w:headerReference w:type="default" r:id="rId17"/>
      <w:pgSz w:w="12240" w:h="15840"/>
      <w:pgMar w:top="2096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53" w:rsidRDefault="009B3853" w:rsidP="001529F7">
      <w:pPr>
        <w:spacing w:after="0" w:line="240" w:lineRule="auto"/>
      </w:pPr>
      <w:r>
        <w:separator/>
      </w:r>
    </w:p>
  </w:endnote>
  <w:endnote w:type="continuationSeparator" w:id="0">
    <w:p w:rsidR="009B3853" w:rsidRDefault="009B3853" w:rsidP="0015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53" w:rsidRDefault="009B3853" w:rsidP="001529F7">
      <w:pPr>
        <w:spacing w:after="0" w:line="240" w:lineRule="auto"/>
      </w:pPr>
      <w:r>
        <w:separator/>
      </w:r>
    </w:p>
  </w:footnote>
  <w:footnote w:type="continuationSeparator" w:id="0">
    <w:p w:rsidR="009B3853" w:rsidRDefault="009B3853" w:rsidP="0015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0B" w:rsidRDefault="00F230AB">
    <w:pPr>
      <w:pStyle w:val="Encabezado"/>
    </w:pPr>
    <w:r>
      <w:rPr>
        <w:noProof/>
        <w:lang w:eastAsia="es-CO"/>
      </w:rPr>
      <w:drawing>
        <wp:anchor distT="114300" distB="114300" distL="114300" distR="114300" simplePos="0" relativeHeight="251659264" behindDoc="0" locked="0" layoutInCell="1" hidden="0" allowOverlap="1" wp14:anchorId="7ED98D2C" wp14:editId="7B09BEAD">
          <wp:simplePos x="0" y="0"/>
          <wp:positionH relativeFrom="margin">
            <wp:posOffset>-313055</wp:posOffset>
          </wp:positionH>
          <wp:positionV relativeFrom="paragraph">
            <wp:posOffset>121920</wp:posOffset>
          </wp:positionV>
          <wp:extent cx="3416300" cy="680720"/>
          <wp:effectExtent l="0" t="0" r="0" b="508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30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34C"/>
    <w:multiLevelType w:val="hybridMultilevel"/>
    <w:tmpl w:val="7196F7E6"/>
    <w:lvl w:ilvl="0" w:tplc="DB78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096B"/>
    <w:multiLevelType w:val="hybridMultilevel"/>
    <w:tmpl w:val="3C6ED9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8BA"/>
    <w:multiLevelType w:val="hybridMultilevel"/>
    <w:tmpl w:val="010EC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5C3C"/>
    <w:multiLevelType w:val="multilevel"/>
    <w:tmpl w:val="DF347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F7"/>
    <w:rsid w:val="0000650A"/>
    <w:rsid w:val="00023E38"/>
    <w:rsid w:val="00044C9C"/>
    <w:rsid w:val="00047DA0"/>
    <w:rsid w:val="00055DB2"/>
    <w:rsid w:val="00062E2F"/>
    <w:rsid w:val="00073704"/>
    <w:rsid w:val="00074C15"/>
    <w:rsid w:val="000855EE"/>
    <w:rsid w:val="000A1E01"/>
    <w:rsid w:val="000C38F3"/>
    <w:rsid w:val="000D1859"/>
    <w:rsid w:val="000F26BE"/>
    <w:rsid w:val="0011171E"/>
    <w:rsid w:val="001529F7"/>
    <w:rsid w:val="00163758"/>
    <w:rsid w:val="001871C7"/>
    <w:rsid w:val="001B0895"/>
    <w:rsid w:val="00210005"/>
    <w:rsid w:val="0021153D"/>
    <w:rsid w:val="00264115"/>
    <w:rsid w:val="00265DFC"/>
    <w:rsid w:val="002D4A1C"/>
    <w:rsid w:val="00302AF0"/>
    <w:rsid w:val="003222EE"/>
    <w:rsid w:val="00381950"/>
    <w:rsid w:val="003A721B"/>
    <w:rsid w:val="003A723A"/>
    <w:rsid w:val="003B6109"/>
    <w:rsid w:val="003C10F6"/>
    <w:rsid w:val="003D16E2"/>
    <w:rsid w:val="003D2048"/>
    <w:rsid w:val="003E574A"/>
    <w:rsid w:val="00400B56"/>
    <w:rsid w:val="00401E6C"/>
    <w:rsid w:val="00414E65"/>
    <w:rsid w:val="0042156C"/>
    <w:rsid w:val="004222E9"/>
    <w:rsid w:val="004263C1"/>
    <w:rsid w:val="00427D5F"/>
    <w:rsid w:val="0043727B"/>
    <w:rsid w:val="004466C6"/>
    <w:rsid w:val="004703F9"/>
    <w:rsid w:val="0052683D"/>
    <w:rsid w:val="0053384B"/>
    <w:rsid w:val="0053510F"/>
    <w:rsid w:val="00536737"/>
    <w:rsid w:val="005452A2"/>
    <w:rsid w:val="0054587E"/>
    <w:rsid w:val="00555788"/>
    <w:rsid w:val="00566E33"/>
    <w:rsid w:val="005702DC"/>
    <w:rsid w:val="005B2D1B"/>
    <w:rsid w:val="005D5444"/>
    <w:rsid w:val="006002BE"/>
    <w:rsid w:val="0060558A"/>
    <w:rsid w:val="00637C8B"/>
    <w:rsid w:val="00644B7A"/>
    <w:rsid w:val="0067541E"/>
    <w:rsid w:val="00676D29"/>
    <w:rsid w:val="006A43D5"/>
    <w:rsid w:val="007064C6"/>
    <w:rsid w:val="0071130C"/>
    <w:rsid w:val="007140DD"/>
    <w:rsid w:val="00715053"/>
    <w:rsid w:val="00731A20"/>
    <w:rsid w:val="00767C94"/>
    <w:rsid w:val="007B2FBA"/>
    <w:rsid w:val="007C25E2"/>
    <w:rsid w:val="007E5185"/>
    <w:rsid w:val="007E7290"/>
    <w:rsid w:val="007F6EA7"/>
    <w:rsid w:val="007F7F83"/>
    <w:rsid w:val="008227F4"/>
    <w:rsid w:val="00834D55"/>
    <w:rsid w:val="00843CB1"/>
    <w:rsid w:val="0086550C"/>
    <w:rsid w:val="00884DD4"/>
    <w:rsid w:val="00890378"/>
    <w:rsid w:val="00894E33"/>
    <w:rsid w:val="008C71AF"/>
    <w:rsid w:val="008E4664"/>
    <w:rsid w:val="0092335E"/>
    <w:rsid w:val="00980778"/>
    <w:rsid w:val="00985535"/>
    <w:rsid w:val="009B3853"/>
    <w:rsid w:val="009C620B"/>
    <w:rsid w:val="009C7877"/>
    <w:rsid w:val="009D4972"/>
    <w:rsid w:val="009E2162"/>
    <w:rsid w:val="00A07AD3"/>
    <w:rsid w:val="00A17D1D"/>
    <w:rsid w:val="00A30383"/>
    <w:rsid w:val="00A57E81"/>
    <w:rsid w:val="00A62C1D"/>
    <w:rsid w:val="00A8361D"/>
    <w:rsid w:val="00A94C64"/>
    <w:rsid w:val="00AA3A69"/>
    <w:rsid w:val="00AB1628"/>
    <w:rsid w:val="00AB6621"/>
    <w:rsid w:val="00AD2816"/>
    <w:rsid w:val="00AF6179"/>
    <w:rsid w:val="00B3138F"/>
    <w:rsid w:val="00B37927"/>
    <w:rsid w:val="00B812AE"/>
    <w:rsid w:val="00BA5D73"/>
    <w:rsid w:val="00BD1AF4"/>
    <w:rsid w:val="00BF0E75"/>
    <w:rsid w:val="00C1295E"/>
    <w:rsid w:val="00C266F4"/>
    <w:rsid w:val="00C73CE6"/>
    <w:rsid w:val="00C779AD"/>
    <w:rsid w:val="00C861E5"/>
    <w:rsid w:val="00CB45BF"/>
    <w:rsid w:val="00CB778D"/>
    <w:rsid w:val="00CC1954"/>
    <w:rsid w:val="00CE5D5C"/>
    <w:rsid w:val="00D02B85"/>
    <w:rsid w:val="00D447D3"/>
    <w:rsid w:val="00D656EC"/>
    <w:rsid w:val="00D926AD"/>
    <w:rsid w:val="00D94AF3"/>
    <w:rsid w:val="00DA2BB3"/>
    <w:rsid w:val="00DE0265"/>
    <w:rsid w:val="00DF4A80"/>
    <w:rsid w:val="00E14822"/>
    <w:rsid w:val="00E61DA1"/>
    <w:rsid w:val="00E802B3"/>
    <w:rsid w:val="00E8030C"/>
    <w:rsid w:val="00EB4D1A"/>
    <w:rsid w:val="00EC23C0"/>
    <w:rsid w:val="00ED07C8"/>
    <w:rsid w:val="00ED1EAC"/>
    <w:rsid w:val="00ED38B7"/>
    <w:rsid w:val="00F13DF6"/>
    <w:rsid w:val="00F230AB"/>
    <w:rsid w:val="00F81C6C"/>
    <w:rsid w:val="00FD17A1"/>
    <w:rsid w:val="00FD7751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52AF"/>
  <w15:docId w15:val="{0B5AA29B-E918-49AB-9843-7AA2EC4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1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9F7"/>
  </w:style>
  <w:style w:type="paragraph" w:styleId="Piedepgina">
    <w:name w:val="footer"/>
    <w:basedOn w:val="Normal"/>
    <w:link w:val="PiedepginaCar"/>
    <w:uiPriority w:val="99"/>
    <w:unhideWhenUsed/>
    <w:rsid w:val="0015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F7"/>
  </w:style>
  <w:style w:type="paragraph" w:styleId="Textodeglobo">
    <w:name w:val="Balloon Text"/>
    <w:basedOn w:val="Normal"/>
    <w:link w:val="TextodegloboCar"/>
    <w:uiPriority w:val="99"/>
    <w:semiHidden/>
    <w:unhideWhenUsed/>
    <w:rsid w:val="0040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E6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620B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C620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C62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550C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86550C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FD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D17A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H7EN5MXTHQNV-662-1731</_dlc_DocId>
    <_dlc_DocIdUrl xmlns="ae9388c0-b1e2-40ea-b6a8-c51c7913cbd2">
      <Url>https://www.mincultura.gov.co/prensa/noticias/_layouts/15/DocIdRedir.aspx?ID=H7EN5MXTHQNV-662-1731</Url>
      <Description>H7EN5MXTHQNV-662-1731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A0660-913C-428B-9DD4-87E022B725AD}"/>
</file>

<file path=customXml/itemProps2.xml><?xml version="1.0" encoding="utf-8"?>
<ds:datastoreItem xmlns:ds="http://schemas.openxmlformats.org/officeDocument/2006/customXml" ds:itemID="{9826CF52-588F-443D-950E-BDEDBF3412BB}"/>
</file>

<file path=customXml/itemProps3.xml><?xml version="1.0" encoding="utf-8"?>
<ds:datastoreItem xmlns:ds="http://schemas.openxmlformats.org/officeDocument/2006/customXml" ds:itemID="{2AF7B5C4-A84C-42B0-B70C-830A42F754CC}"/>
</file>

<file path=customXml/itemProps4.xml><?xml version="1.0" encoding="utf-8"?>
<ds:datastoreItem xmlns:ds="http://schemas.openxmlformats.org/officeDocument/2006/customXml" ds:itemID="{0ABAE3C2-76B6-4A3E-9D9A-5292067CCD7A}"/>
</file>

<file path=customXml/itemProps5.xml><?xml version="1.0" encoding="utf-8"?>
<ds:datastoreItem xmlns:ds="http://schemas.openxmlformats.org/officeDocument/2006/customXml" ds:itemID="{50B4AA6F-F0A1-4A94-8191-A9D3E17D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Yenny Alejandra Gonzalez Gomez</dc:creator>
  <cp:lastModifiedBy>Yenny Alejandra Gonzalez Gomez</cp:lastModifiedBy>
  <cp:revision>69</cp:revision>
  <cp:lastPrinted>2018-12-17T21:11:00Z</cp:lastPrinted>
  <dcterms:created xsi:type="dcterms:W3CDTF">2018-12-20T21:16:00Z</dcterms:created>
  <dcterms:modified xsi:type="dcterms:W3CDTF">2018-12-24T14:33:00Z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9c05c8bb-999e-4b2d-a46a-782bc21a61f8</vt:lpwstr>
  </property>
</Properties>
</file>